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69A93" w14:textId="77777777" w:rsidR="005F064D" w:rsidRPr="00674300" w:rsidRDefault="005F064D" w:rsidP="005F064D">
      <w:pPr>
        <w:jc w:val="center"/>
        <w:rPr>
          <w:rFonts w:cs="Times New Roman"/>
        </w:rPr>
      </w:pPr>
      <w:r w:rsidRPr="00674300">
        <w:rPr>
          <w:rFonts w:cs="Times New Roman"/>
          <w:noProof/>
        </w:rPr>
        <w:drawing>
          <wp:inline distT="0" distB="0" distL="0" distR="0" wp14:anchorId="5C1B8D83" wp14:editId="2810C85D">
            <wp:extent cx="3517461" cy="1978572"/>
            <wp:effectExtent l="0" t="0" r="635" b="3175"/>
            <wp:docPr id="5" name="Picture 4">
              <a:extLst xmlns:a="http://schemas.openxmlformats.org/drawingml/2006/main">
                <a:ext uri="{FF2B5EF4-FFF2-40B4-BE49-F238E27FC236}">
                  <a16:creationId xmlns:a16="http://schemas.microsoft.com/office/drawing/2014/main" id="{2095755E-F617-3425-0F10-D1BC05B96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95755E-F617-3425-0F10-D1BC05B96C47}"/>
                        </a:ext>
                      </a:extLst>
                    </pic:cNvPr>
                    <pic:cNvPicPr>
                      <a:picLocks noChangeAspect="1"/>
                    </pic:cNvPicPr>
                  </pic:nvPicPr>
                  <pic:blipFill>
                    <a:blip r:embed="rId7"/>
                    <a:stretch>
                      <a:fillRect/>
                    </a:stretch>
                  </pic:blipFill>
                  <pic:spPr>
                    <a:xfrm>
                      <a:off x="0" y="0"/>
                      <a:ext cx="3535918" cy="1988954"/>
                    </a:xfrm>
                    <a:prstGeom prst="rect">
                      <a:avLst/>
                    </a:prstGeom>
                  </pic:spPr>
                </pic:pic>
              </a:graphicData>
            </a:graphic>
          </wp:inline>
        </w:drawing>
      </w:r>
    </w:p>
    <w:p w14:paraId="32B4BC04" w14:textId="77777777" w:rsidR="005F064D" w:rsidRPr="00674300" w:rsidRDefault="005F064D" w:rsidP="005F064D">
      <w:pPr>
        <w:rPr>
          <w:rFonts w:cs="Times New Roman"/>
        </w:rPr>
      </w:pPr>
    </w:p>
    <w:p w14:paraId="5A9DAB49" w14:textId="77777777" w:rsidR="005F064D" w:rsidRPr="00674300" w:rsidRDefault="005F064D" w:rsidP="005F064D">
      <w:pPr>
        <w:rPr>
          <w:rFonts w:cs="Times New Roman"/>
        </w:rPr>
      </w:pPr>
    </w:p>
    <w:p w14:paraId="6DC0F472" w14:textId="0073268B" w:rsidR="005F064D" w:rsidRDefault="005F064D" w:rsidP="005F064D">
      <w:pPr>
        <w:jc w:val="center"/>
        <w:rPr>
          <w:rFonts w:cs="Times New Roman"/>
          <w:b/>
          <w:bCs/>
        </w:rPr>
      </w:pPr>
      <w:r w:rsidRPr="00FF1301">
        <w:rPr>
          <w:rFonts w:cs="Times New Roman"/>
          <w:b/>
          <w:bCs/>
        </w:rPr>
        <w:t xml:space="preserve">EPISODE </w:t>
      </w:r>
      <w:r w:rsidR="004C102E">
        <w:rPr>
          <w:rFonts w:cs="Times New Roman"/>
          <w:b/>
          <w:bCs/>
        </w:rPr>
        <w:t>10</w:t>
      </w:r>
      <w:r w:rsidRPr="00FF1301">
        <w:rPr>
          <w:rFonts w:cs="Times New Roman"/>
          <w:b/>
          <w:bCs/>
        </w:rPr>
        <w:t xml:space="preserve">: </w:t>
      </w:r>
      <w:r w:rsidR="004C102E" w:rsidRPr="00FF1301">
        <w:rPr>
          <w:rFonts w:cs="Times New Roman"/>
          <w:b/>
          <w:bCs/>
        </w:rPr>
        <w:t>Persia</w:t>
      </w:r>
      <w:r w:rsidR="004C102E">
        <w:rPr>
          <w:rFonts w:cs="Times New Roman"/>
          <w:b/>
          <w:bCs/>
        </w:rPr>
        <w:t xml:space="preserve"> and the Return </w:t>
      </w:r>
    </w:p>
    <w:p w14:paraId="5C9A4556" w14:textId="75467977" w:rsidR="000D6ADE" w:rsidRDefault="000D6ADE" w:rsidP="005F064D">
      <w:pPr>
        <w:jc w:val="center"/>
        <w:rPr>
          <w:rFonts w:cs="Times New Roman"/>
          <w:b/>
          <w:bCs/>
        </w:rPr>
      </w:pPr>
      <w:r>
        <w:rPr>
          <w:rFonts w:cs="Times New Roman"/>
          <w:b/>
          <w:bCs/>
        </w:rPr>
        <w:t>11/03/2022</w:t>
      </w:r>
    </w:p>
    <w:p w14:paraId="2BAEC078" w14:textId="77777777" w:rsidR="000D6ADE" w:rsidRPr="00FF1301" w:rsidRDefault="000D6ADE" w:rsidP="005F064D">
      <w:pPr>
        <w:jc w:val="center"/>
        <w:rPr>
          <w:rFonts w:cs="Times New Roman"/>
          <w:b/>
          <w:bCs/>
        </w:rPr>
      </w:pPr>
    </w:p>
    <w:p w14:paraId="4039C826" w14:textId="77777777" w:rsidR="005F064D" w:rsidRPr="001765A5" w:rsidRDefault="005F064D" w:rsidP="005F064D">
      <w:pPr>
        <w:autoSpaceDE w:val="0"/>
        <w:autoSpaceDN w:val="0"/>
        <w:adjustRightInd w:val="0"/>
        <w:ind w:left="1080" w:hanging="720"/>
      </w:pPr>
    </w:p>
    <w:p w14:paraId="2E0CD924" w14:textId="77777777" w:rsidR="00564A6D" w:rsidRPr="001765A5" w:rsidRDefault="00CF4C06" w:rsidP="005F064D">
      <w:pPr>
        <w:rPr>
          <w:rFonts w:cs="Times New Roman"/>
          <w:i/>
          <w:iCs/>
        </w:rPr>
      </w:pPr>
      <w:r w:rsidRPr="001765A5">
        <w:rPr>
          <w:rFonts w:cs="Times New Roman"/>
          <w:b/>
          <w:i/>
          <w:iCs/>
          <w:vertAlign w:val="superscript"/>
        </w:rPr>
        <w:t>12 </w:t>
      </w:r>
      <w:r w:rsidRPr="001765A5">
        <w:rPr>
          <w:rFonts w:cs="Times New Roman"/>
          <w:i/>
          <w:iCs/>
        </w:rPr>
        <w:t xml:space="preserve">Then after seventy years are completed, I will punish the king of Babylon and that nation, the land of the Chaldeans, for their iniquity, declares the </w:t>
      </w:r>
      <w:r w:rsidRPr="001765A5">
        <w:rPr>
          <w:rFonts w:cs="Times New Roman"/>
          <w:i/>
          <w:iCs/>
          <w:smallCaps/>
        </w:rPr>
        <w:t>Lord</w:t>
      </w:r>
      <w:r w:rsidRPr="001765A5">
        <w:rPr>
          <w:rFonts w:cs="Times New Roman"/>
          <w:i/>
          <w:iCs/>
        </w:rPr>
        <w:t>, making the land an everlasting waste.</w:t>
      </w:r>
      <w:r w:rsidR="00564A6D" w:rsidRPr="001765A5">
        <w:rPr>
          <w:rFonts w:cs="Times New Roman"/>
          <w:i/>
          <w:iCs/>
        </w:rPr>
        <w:t xml:space="preserve"> </w:t>
      </w:r>
    </w:p>
    <w:p w14:paraId="480CA96B" w14:textId="6D4FEB90" w:rsidR="004C102E" w:rsidRPr="001765A5" w:rsidRDefault="00CF4C06" w:rsidP="00564A6D">
      <w:pPr>
        <w:jc w:val="right"/>
        <w:rPr>
          <w:rFonts w:cs="Times New Roman"/>
        </w:rPr>
      </w:pPr>
      <w:r w:rsidRPr="001765A5">
        <w:rPr>
          <w:rFonts w:cs="Times New Roman"/>
        </w:rPr>
        <w:t>Jeremiah 25:12</w:t>
      </w:r>
    </w:p>
    <w:p w14:paraId="1B7AE301" w14:textId="54636F2F" w:rsidR="00564A6D" w:rsidRPr="001765A5" w:rsidRDefault="00564A6D" w:rsidP="005F064D">
      <w:pPr>
        <w:rPr>
          <w:rFonts w:cs="Times New Roman"/>
        </w:rPr>
      </w:pPr>
    </w:p>
    <w:p w14:paraId="748721E0" w14:textId="62D954A2" w:rsidR="00564A6D" w:rsidRPr="001765A5" w:rsidRDefault="00564A6D" w:rsidP="00564A6D">
      <w:pPr>
        <w:autoSpaceDE w:val="0"/>
        <w:autoSpaceDN w:val="0"/>
        <w:adjustRightInd w:val="0"/>
        <w:jc w:val="both"/>
        <w:rPr>
          <w:rFonts w:cs="Times New Roman"/>
          <w:i/>
          <w:iCs/>
        </w:rPr>
      </w:pPr>
      <w:r w:rsidRPr="004C102E">
        <w:rPr>
          <w:rFonts w:cs="Times New Roman"/>
          <w:i/>
          <w:iCs/>
        </w:rPr>
        <w:t xml:space="preserve">Thus says the </w:t>
      </w:r>
      <w:r w:rsidRPr="004C102E">
        <w:rPr>
          <w:rFonts w:cs="Times New Roman"/>
          <w:i/>
          <w:iCs/>
          <w:smallCaps/>
        </w:rPr>
        <w:t>Lord</w:t>
      </w:r>
      <w:r w:rsidRPr="004C102E">
        <w:rPr>
          <w:rFonts w:cs="Times New Roman"/>
          <w:i/>
          <w:iCs/>
        </w:rPr>
        <w:t xml:space="preserve"> to his anointed, to </w:t>
      </w:r>
      <w:r w:rsidRPr="004C102E">
        <w:rPr>
          <w:rFonts w:cs="Times New Roman"/>
          <w:i/>
          <w:iCs/>
          <w:color w:val="000000"/>
        </w:rPr>
        <w:t>Cyrus</w:t>
      </w:r>
      <w:r w:rsidRPr="004C102E">
        <w:rPr>
          <w:rFonts w:cs="Times New Roman"/>
          <w:i/>
          <w:iCs/>
        </w:rPr>
        <w:t>, whose right hand I have grasped, to subdue nations before him and to loose the belts of kings, to open doors before him that gates may not be closed</w:t>
      </w:r>
      <w:r w:rsidRPr="001765A5">
        <w:rPr>
          <w:rFonts w:cs="Times New Roman"/>
          <w:i/>
          <w:iCs/>
        </w:rPr>
        <w:t>…</w:t>
      </w:r>
    </w:p>
    <w:p w14:paraId="087CA139" w14:textId="2E906533" w:rsidR="00564A6D" w:rsidRPr="004C102E" w:rsidRDefault="00564A6D" w:rsidP="00564A6D">
      <w:pPr>
        <w:autoSpaceDE w:val="0"/>
        <w:autoSpaceDN w:val="0"/>
        <w:adjustRightInd w:val="0"/>
        <w:ind w:left="960" w:hanging="320"/>
        <w:jc w:val="right"/>
        <w:rPr>
          <w:rFonts w:cs="Times New Roman"/>
        </w:rPr>
      </w:pPr>
      <w:r w:rsidRPr="001765A5">
        <w:rPr>
          <w:rFonts w:cs="Times New Roman"/>
        </w:rPr>
        <w:t>Isaiah 45:1</w:t>
      </w:r>
    </w:p>
    <w:p w14:paraId="0B0BF45D" w14:textId="77777777" w:rsidR="004C102E" w:rsidRPr="001765A5" w:rsidRDefault="004C102E" w:rsidP="005F064D"/>
    <w:p w14:paraId="63D97DCC" w14:textId="1A847401" w:rsidR="005F064D" w:rsidRPr="001765A5" w:rsidRDefault="005041C7" w:rsidP="005F064D">
      <w:pPr>
        <w:rPr>
          <w:b/>
          <w:bCs/>
          <w:u w:val="single"/>
        </w:rPr>
      </w:pPr>
      <w:r w:rsidRPr="001765A5">
        <w:rPr>
          <w:b/>
          <w:bCs/>
          <w:u w:val="single"/>
        </w:rPr>
        <w:t>PERSIA</w:t>
      </w:r>
    </w:p>
    <w:p w14:paraId="6526A3A6" w14:textId="77777777" w:rsidR="003F09E4" w:rsidRPr="001765A5" w:rsidRDefault="003F09E4" w:rsidP="005F064D">
      <w:pPr>
        <w:rPr>
          <w:b/>
          <w:bCs/>
        </w:rPr>
      </w:pPr>
    </w:p>
    <w:p w14:paraId="52EBC08C" w14:textId="77777777" w:rsidR="005041C7" w:rsidRPr="001765A5" w:rsidRDefault="005F064D" w:rsidP="005041C7">
      <w:pPr>
        <w:pStyle w:val="ListParagraph"/>
        <w:numPr>
          <w:ilvl w:val="0"/>
          <w:numId w:val="1"/>
        </w:numPr>
        <w:rPr>
          <w:b/>
          <w:bCs/>
        </w:rPr>
      </w:pPr>
      <w:r w:rsidRPr="001765A5">
        <w:rPr>
          <w:b/>
          <w:bCs/>
        </w:rPr>
        <w:t xml:space="preserve">Who were the Persians? </w:t>
      </w:r>
    </w:p>
    <w:p w14:paraId="30489C44" w14:textId="77777777" w:rsidR="005041C7" w:rsidRPr="001765A5" w:rsidRDefault="005F064D" w:rsidP="005F064D">
      <w:pPr>
        <w:pStyle w:val="ListParagraph"/>
        <w:numPr>
          <w:ilvl w:val="1"/>
          <w:numId w:val="1"/>
        </w:numPr>
      </w:pPr>
      <w:r w:rsidRPr="001765A5">
        <w:t>Origins: The Medes and the Persian</w:t>
      </w:r>
    </w:p>
    <w:p w14:paraId="1F4889C9" w14:textId="77777777" w:rsidR="005041C7" w:rsidRPr="001765A5" w:rsidRDefault="005F064D" w:rsidP="005F064D">
      <w:pPr>
        <w:pStyle w:val="ListParagraph"/>
        <w:numPr>
          <w:ilvl w:val="1"/>
          <w:numId w:val="1"/>
        </w:numPr>
      </w:pPr>
      <w:r w:rsidRPr="001765A5">
        <w:t>The Descendants of Japheth</w:t>
      </w:r>
    </w:p>
    <w:p w14:paraId="52F89D4C" w14:textId="05547C67" w:rsidR="005F064D" w:rsidRPr="001765A5" w:rsidRDefault="005F064D" w:rsidP="005041C7">
      <w:pPr>
        <w:pStyle w:val="ListParagraph"/>
        <w:numPr>
          <w:ilvl w:val="2"/>
          <w:numId w:val="1"/>
        </w:numPr>
        <w:rPr>
          <w:b/>
          <w:bCs/>
        </w:rPr>
      </w:pPr>
      <w:r w:rsidRPr="001765A5">
        <w:t xml:space="preserve">Indo-European stock perhaps from South Russia; and its language and early religion reveal its close kinship with those </w:t>
      </w:r>
      <w:r w:rsidR="005041C7" w:rsidRPr="001765A5">
        <w:t>people</w:t>
      </w:r>
      <w:r w:rsidRPr="001765A5">
        <w:t xml:space="preserve"> who crossed Afghanistan to become the ruling caste of northern India.</w:t>
      </w:r>
    </w:p>
    <w:p w14:paraId="696F5045" w14:textId="77777777" w:rsidR="005041C7" w:rsidRPr="001765A5" w:rsidRDefault="005041C7" w:rsidP="005F064D">
      <w:pPr>
        <w:pStyle w:val="ListParagraph"/>
        <w:numPr>
          <w:ilvl w:val="2"/>
          <w:numId w:val="1"/>
        </w:numPr>
        <w:rPr>
          <w:b/>
          <w:bCs/>
        </w:rPr>
      </w:pPr>
      <w:r w:rsidRPr="001765A5">
        <w:t>The ancient Persians spoke of a primitive homeland known as Airyana-vaejo—</w:t>
      </w:r>
      <w:r w:rsidRPr="001765A5">
        <w:rPr>
          <w:i/>
          <w:iCs/>
        </w:rPr>
        <w:t>Aryan</w:t>
      </w:r>
    </w:p>
    <w:p w14:paraId="6AD133E1" w14:textId="65F0A3CB" w:rsidR="005041C7" w:rsidRPr="000D6ADE" w:rsidRDefault="005F064D" w:rsidP="005041C7">
      <w:pPr>
        <w:pStyle w:val="ListParagraph"/>
        <w:numPr>
          <w:ilvl w:val="2"/>
          <w:numId w:val="1"/>
        </w:numPr>
        <w:rPr>
          <w:b/>
          <w:bCs/>
        </w:rPr>
      </w:pPr>
      <w:r w:rsidRPr="001765A5">
        <w:rPr>
          <w:i/>
          <w:iCs/>
        </w:rPr>
        <w:t>Ariana</w:t>
      </w:r>
      <w:r w:rsidR="005041C7" w:rsidRPr="001765A5">
        <w:t>=</w:t>
      </w:r>
      <w:r w:rsidR="00564A6D" w:rsidRPr="001765A5">
        <w:t xml:space="preserve"> </w:t>
      </w:r>
      <w:r w:rsidRPr="001765A5">
        <w:rPr>
          <w:i/>
          <w:iCs/>
        </w:rPr>
        <w:t>Iran</w:t>
      </w:r>
      <w:r w:rsidRPr="001765A5">
        <w:t>.</w:t>
      </w:r>
    </w:p>
    <w:p w14:paraId="5BC8A113" w14:textId="77777777" w:rsidR="000D6ADE" w:rsidRPr="001765A5" w:rsidRDefault="000D6ADE" w:rsidP="000D6ADE">
      <w:pPr>
        <w:pStyle w:val="ListParagraph"/>
        <w:ind w:left="2160"/>
        <w:rPr>
          <w:b/>
          <w:bCs/>
        </w:rPr>
      </w:pPr>
    </w:p>
    <w:p w14:paraId="261967DE" w14:textId="2C5A8250" w:rsidR="00385FBA" w:rsidRPr="001765A5" w:rsidRDefault="005F064D" w:rsidP="005F064D">
      <w:pPr>
        <w:pStyle w:val="ListParagraph"/>
        <w:numPr>
          <w:ilvl w:val="0"/>
          <w:numId w:val="1"/>
        </w:numPr>
        <w:rPr>
          <w:b/>
          <w:bCs/>
        </w:rPr>
      </w:pPr>
      <w:r w:rsidRPr="001765A5">
        <w:rPr>
          <w:b/>
          <w:bCs/>
        </w:rPr>
        <w:t>Kings</w:t>
      </w:r>
      <w:r w:rsidR="005041C7" w:rsidRPr="001765A5">
        <w:rPr>
          <w:b/>
          <w:bCs/>
        </w:rPr>
        <w:t xml:space="preserve"> </w:t>
      </w:r>
    </w:p>
    <w:p w14:paraId="5880C132" w14:textId="5FB461D1" w:rsidR="005F064D" w:rsidRPr="001765A5" w:rsidRDefault="005F064D" w:rsidP="00385FBA">
      <w:pPr>
        <w:pStyle w:val="ListParagraph"/>
        <w:numPr>
          <w:ilvl w:val="1"/>
          <w:numId w:val="1"/>
        </w:numPr>
        <w:rPr>
          <w:b/>
          <w:bCs/>
        </w:rPr>
      </w:pPr>
      <w:r w:rsidRPr="001765A5">
        <w:t xml:space="preserve">The rulers of the Empire were: </w:t>
      </w:r>
    </w:p>
    <w:p w14:paraId="5E80863C" w14:textId="77777777" w:rsidR="005F064D" w:rsidRPr="001765A5" w:rsidRDefault="005F064D" w:rsidP="00385FBA">
      <w:pPr>
        <w:pStyle w:val="ListParagraph"/>
        <w:numPr>
          <w:ilvl w:val="2"/>
          <w:numId w:val="1"/>
        </w:numPr>
        <w:rPr>
          <w:b/>
          <w:bCs/>
        </w:rPr>
      </w:pPr>
      <w:r w:rsidRPr="001765A5">
        <w:rPr>
          <w:b/>
          <w:bCs/>
        </w:rPr>
        <w:t xml:space="preserve">Cyrus (king of Anshan ca. 560 b.c., d. 530); </w:t>
      </w:r>
    </w:p>
    <w:p w14:paraId="03AA9B4B" w14:textId="77777777" w:rsidR="005F064D" w:rsidRPr="001765A5" w:rsidRDefault="005F064D" w:rsidP="00385FBA">
      <w:pPr>
        <w:pStyle w:val="ListParagraph"/>
        <w:numPr>
          <w:ilvl w:val="2"/>
          <w:numId w:val="1"/>
        </w:numPr>
      </w:pPr>
      <w:r w:rsidRPr="001765A5">
        <w:t xml:space="preserve">Cambyses (530-522); </w:t>
      </w:r>
    </w:p>
    <w:p w14:paraId="43144A83" w14:textId="77777777" w:rsidR="005F064D" w:rsidRPr="001765A5" w:rsidRDefault="005F064D" w:rsidP="00385FBA">
      <w:pPr>
        <w:pStyle w:val="ListParagraph"/>
        <w:numPr>
          <w:ilvl w:val="2"/>
          <w:numId w:val="1"/>
        </w:numPr>
        <w:rPr>
          <w:b/>
          <w:bCs/>
        </w:rPr>
      </w:pPr>
      <w:r w:rsidRPr="001765A5">
        <w:rPr>
          <w:b/>
          <w:bCs/>
        </w:rPr>
        <w:t xml:space="preserve">Darius I (522-486); </w:t>
      </w:r>
    </w:p>
    <w:p w14:paraId="7C7B5B41" w14:textId="5A69D619" w:rsidR="005F064D" w:rsidRPr="001765A5" w:rsidRDefault="005F064D" w:rsidP="00385FBA">
      <w:pPr>
        <w:pStyle w:val="ListParagraph"/>
        <w:numPr>
          <w:ilvl w:val="2"/>
          <w:numId w:val="1"/>
        </w:numPr>
        <w:rPr>
          <w:b/>
          <w:bCs/>
        </w:rPr>
      </w:pPr>
      <w:r w:rsidRPr="001765A5">
        <w:rPr>
          <w:b/>
          <w:bCs/>
        </w:rPr>
        <w:t>Xerxes I (486-465)</w:t>
      </w:r>
      <w:r w:rsidR="00564A6D" w:rsidRPr="001765A5">
        <w:rPr>
          <w:b/>
          <w:bCs/>
        </w:rPr>
        <w:t xml:space="preserve"> (Ah</w:t>
      </w:r>
      <w:r w:rsidR="001765A5" w:rsidRPr="001765A5">
        <w:rPr>
          <w:b/>
          <w:bCs/>
        </w:rPr>
        <w:t>as</w:t>
      </w:r>
      <w:r w:rsidR="00564A6D" w:rsidRPr="001765A5">
        <w:rPr>
          <w:b/>
          <w:bCs/>
        </w:rPr>
        <w:t>e</w:t>
      </w:r>
      <w:r w:rsidR="001765A5" w:rsidRPr="001765A5">
        <w:rPr>
          <w:b/>
          <w:bCs/>
        </w:rPr>
        <w:t>urus of Esther)</w:t>
      </w:r>
      <w:r w:rsidRPr="001765A5">
        <w:rPr>
          <w:b/>
          <w:bCs/>
        </w:rPr>
        <w:t xml:space="preserve">; </w:t>
      </w:r>
    </w:p>
    <w:p w14:paraId="2368BA63" w14:textId="77777777" w:rsidR="005F064D" w:rsidRPr="001765A5" w:rsidRDefault="005F064D" w:rsidP="00385FBA">
      <w:pPr>
        <w:pStyle w:val="ListParagraph"/>
        <w:numPr>
          <w:ilvl w:val="2"/>
          <w:numId w:val="1"/>
        </w:numPr>
        <w:rPr>
          <w:b/>
          <w:bCs/>
        </w:rPr>
      </w:pPr>
      <w:r w:rsidRPr="001765A5">
        <w:rPr>
          <w:b/>
          <w:bCs/>
        </w:rPr>
        <w:t xml:space="preserve">Artaxerxes I (465-424); </w:t>
      </w:r>
    </w:p>
    <w:p w14:paraId="03C31F7E" w14:textId="77777777" w:rsidR="005F064D" w:rsidRPr="001765A5" w:rsidRDefault="005F064D" w:rsidP="00385FBA">
      <w:pPr>
        <w:pStyle w:val="ListParagraph"/>
        <w:numPr>
          <w:ilvl w:val="2"/>
          <w:numId w:val="1"/>
        </w:numPr>
      </w:pPr>
      <w:r w:rsidRPr="001765A5">
        <w:t xml:space="preserve">Xerxes II (424); </w:t>
      </w:r>
    </w:p>
    <w:p w14:paraId="6F9BC8BD" w14:textId="77777777" w:rsidR="005F064D" w:rsidRPr="001765A5" w:rsidRDefault="005F064D" w:rsidP="00385FBA">
      <w:pPr>
        <w:pStyle w:val="ListParagraph"/>
        <w:numPr>
          <w:ilvl w:val="2"/>
          <w:numId w:val="1"/>
        </w:numPr>
      </w:pPr>
      <w:r w:rsidRPr="001765A5">
        <w:t xml:space="preserve">Sogdianos (424-423); </w:t>
      </w:r>
    </w:p>
    <w:p w14:paraId="4670DBB1" w14:textId="77777777" w:rsidR="005F064D" w:rsidRPr="001765A5" w:rsidRDefault="005F064D" w:rsidP="00385FBA">
      <w:pPr>
        <w:pStyle w:val="ListParagraph"/>
        <w:numPr>
          <w:ilvl w:val="2"/>
          <w:numId w:val="1"/>
        </w:numPr>
      </w:pPr>
      <w:r w:rsidRPr="001765A5">
        <w:t xml:space="preserve">Darius II (423-405/4); </w:t>
      </w:r>
    </w:p>
    <w:p w14:paraId="72A8F7D4" w14:textId="77777777" w:rsidR="005F064D" w:rsidRPr="001765A5" w:rsidRDefault="005F064D" w:rsidP="00385FBA">
      <w:pPr>
        <w:pStyle w:val="ListParagraph"/>
        <w:numPr>
          <w:ilvl w:val="2"/>
          <w:numId w:val="1"/>
        </w:numPr>
      </w:pPr>
      <w:r w:rsidRPr="001765A5">
        <w:t xml:space="preserve">Artaxerxes II (405/4-359/8); </w:t>
      </w:r>
    </w:p>
    <w:p w14:paraId="57387ABF" w14:textId="77777777" w:rsidR="005F064D" w:rsidRPr="001765A5" w:rsidRDefault="005F064D" w:rsidP="00385FBA">
      <w:pPr>
        <w:pStyle w:val="ListParagraph"/>
        <w:numPr>
          <w:ilvl w:val="2"/>
          <w:numId w:val="1"/>
        </w:numPr>
      </w:pPr>
      <w:r w:rsidRPr="001765A5">
        <w:lastRenderedPageBreak/>
        <w:t xml:space="preserve">Artaxerxes III (359/58-338/37); </w:t>
      </w:r>
    </w:p>
    <w:p w14:paraId="2CC9DF9C" w14:textId="77777777" w:rsidR="005F064D" w:rsidRPr="001765A5" w:rsidRDefault="005F064D" w:rsidP="00385FBA">
      <w:pPr>
        <w:pStyle w:val="ListParagraph"/>
        <w:numPr>
          <w:ilvl w:val="2"/>
          <w:numId w:val="1"/>
        </w:numPr>
      </w:pPr>
      <w:r w:rsidRPr="001765A5">
        <w:t xml:space="preserve">Artaxerxes IV (338/37-336); </w:t>
      </w:r>
    </w:p>
    <w:p w14:paraId="418A899B" w14:textId="224699C3" w:rsidR="005041C7" w:rsidRDefault="005F064D" w:rsidP="00385FBA">
      <w:pPr>
        <w:pStyle w:val="ListParagraph"/>
        <w:numPr>
          <w:ilvl w:val="2"/>
          <w:numId w:val="1"/>
        </w:numPr>
      </w:pPr>
      <w:r w:rsidRPr="001765A5">
        <w:t xml:space="preserve">and Darius III (336-330). </w:t>
      </w:r>
    </w:p>
    <w:p w14:paraId="0985A0F0" w14:textId="77777777" w:rsidR="003A7C78" w:rsidRPr="001765A5" w:rsidRDefault="003A7C78" w:rsidP="003A7C78">
      <w:pPr>
        <w:pStyle w:val="ListParagraph"/>
        <w:ind w:left="2160"/>
      </w:pPr>
    </w:p>
    <w:p w14:paraId="74CC7B13" w14:textId="1E1811C4" w:rsidR="005041C7" w:rsidRPr="001765A5" w:rsidRDefault="005F064D" w:rsidP="00385FBA">
      <w:pPr>
        <w:pStyle w:val="ListParagraph"/>
        <w:numPr>
          <w:ilvl w:val="1"/>
          <w:numId w:val="1"/>
        </w:numPr>
      </w:pPr>
      <w:r w:rsidRPr="001765A5">
        <w:rPr>
          <w:b/>
          <w:bCs/>
        </w:rPr>
        <w:t>Cyrus</w:t>
      </w:r>
      <w:r w:rsidR="005041C7" w:rsidRPr="001765A5">
        <w:rPr>
          <w:b/>
          <w:bCs/>
        </w:rPr>
        <w:t xml:space="preserve"> (</w:t>
      </w:r>
      <w:r w:rsidR="005041C7" w:rsidRPr="001765A5">
        <w:t xml:space="preserve">ca. 560 </w:t>
      </w:r>
      <w:r w:rsidR="00564A6D" w:rsidRPr="001765A5">
        <w:t>B.C.</w:t>
      </w:r>
      <w:r w:rsidR="005041C7" w:rsidRPr="001765A5">
        <w:t>, d. 530)</w:t>
      </w:r>
    </w:p>
    <w:p w14:paraId="10251830" w14:textId="77777777" w:rsidR="005041C7" w:rsidRPr="001765A5" w:rsidRDefault="005F064D" w:rsidP="00385FBA">
      <w:pPr>
        <w:pStyle w:val="ListParagraph"/>
        <w:numPr>
          <w:ilvl w:val="2"/>
          <w:numId w:val="1"/>
        </w:numPr>
      </w:pPr>
      <w:r w:rsidRPr="001765A5">
        <w:t>“The Bible remembers him as an enlightened monarch. His unparalleled, swift and brilliant rise to power was marred by no deed of violence. His able and humane policy made him one of the most attractive figures in the ancient orient.</w:t>
      </w:r>
    </w:p>
    <w:p w14:paraId="44AC79CE" w14:textId="552D6E72" w:rsidR="00385FBA" w:rsidRPr="001765A5" w:rsidRDefault="005041C7" w:rsidP="00385FBA">
      <w:pPr>
        <w:pStyle w:val="ListParagraph"/>
        <w:numPr>
          <w:ilvl w:val="2"/>
          <w:numId w:val="1"/>
        </w:numPr>
      </w:pPr>
      <w:r w:rsidRPr="001765A5">
        <w:t>Founder of the Achaemenid dynasty (ruled Babylonia 539-530 b.c.)</w:t>
      </w:r>
      <w:r w:rsidR="000D6ADE">
        <w:t>.</w:t>
      </w:r>
    </w:p>
    <w:p w14:paraId="299914F3" w14:textId="77777777" w:rsidR="00385FBA" w:rsidRPr="001765A5" w:rsidRDefault="005041C7" w:rsidP="00385FBA">
      <w:pPr>
        <w:pStyle w:val="ListParagraph"/>
        <w:numPr>
          <w:ilvl w:val="2"/>
          <w:numId w:val="1"/>
        </w:numPr>
      </w:pPr>
      <w:r w:rsidRPr="001765A5">
        <w:t>Cyrus’s military victories eventually put him in possession of the largest empire the world at that time had yet seen. They began with the conquest of Media (549), followed by Lydia (546) and Babylonia (539). It would seem that the Babylonian provinces of Eber nāri (today’s Syria, Lebanon, and Israel) fell to him after the conquest of Babylonia, although no specific mention of them is extant in contemporary records.</w:t>
      </w:r>
    </w:p>
    <w:p w14:paraId="2A4D0FED" w14:textId="6968BC08" w:rsidR="00385FBA" w:rsidRPr="001765A5" w:rsidRDefault="005041C7" w:rsidP="00385FBA">
      <w:pPr>
        <w:pStyle w:val="ListParagraph"/>
        <w:numPr>
          <w:ilvl w:val="2"/>
          <w:numId w:val="1"/>
        </w:numPr>
      </w:pPr>
      <w:r w:rsidRPr="001765A5">
        <w:t xml:space="preserve">Cyrus’s policy toward the peoples of his empire was one of tolerance and understanding. His authorization of the rebuilding of the Jerusalem Temple by returning Judeans (end of 2 Chronicles; beginning of Ezra) accords well with what we know from contemporaneous documents. </w:t>
      </w:r>
    </w:p>
    <w:p w14:paraId="34C115E6" w14:textId="311D0E80" w:rsidR="00385FBA" w:rsidRDefault="005F064D" w:rsidP="005F064D">
      <w:pPr>
        <w:pStyle w:val="ListParagraph"/>
        <w:numPr>
          <w:ilvl w:val="2"/>
          <w:numId w:val="1"/>
        </w:numPr>
      </w:pPr>
      <w:r w:rsidRPr="001765A5">
        <w:t>Cyrus was followed by his son Cambyses II (530-522 B.C.). With the conquest of Egypt Persia became under him the greatest empire that the world had ever seen: it stretched from India to the Nile.</w:t>
      </w:r>
    </w:p>
    <w:p w14:paraId="42C212BA" w14:textId="77777777" w:rsidR="003A7C78" w:rsidRPr="001765A5" w:rsidRDefault="003A7C78" w:rsidP="003A7C78">
      <w:pPr>
        <w:pStyle w:val="ListParagraph"/>
        <w:ind w:left="2160"/>
      </w:pPr>
    </w:p>
    <w:p w14:paraId="31E4313C" w14:textId="77777777" w:rsidR="00385FBA" w:rsidRPr="001765A5" w:rsidRDefault="005F064D" w:rsidP="005F064D">
      <w:pPr>
        <w:pStyle w:val="ListParagraph"/>
        <w:numPr>
          <w:ilvl w:val="1"/>
          <w:numId w:val="1"/>
        </w:numPr>
      </w:pPr>
      <w:r w:rsidRPr="001765A5">
        <w:rPr>
          <w:b/>
          <w:bCs/>
        </w:rPr>
        <w:t>Darius</w:t>
      </w:r>
    </w:p>
    <w:p w14:paraId="1F96A9E2" w14:textId="1D1EAC19" w:rsidR="00385FBA" w:rsidRPr="001765A5" w:rsidRDefault="00385FBA" w:rsidP="005F064D">
      <w:pPr>
        <w:pStyle w:val="ListParagraph"/>
        <w:numPr>
          <w:ilvl w:val="2"/>
          <w:numId w:val="1"/>
        </w:numPr>
      </w:pPr>
      <w:r w:rsidRPr="000D6ADE">
        <w:rPr>
          <w:bCs/>
        </w:rPr>
        <w:t>Became</w:t>
      </w:r>
      <w:r w:rsidRPr="001765A5">
        <w:rPr>
          <w:b/>
          <w:bCs/>
        </w:rPr>
        <w:t xml:space="preserve"> </w:t>
      </w:r>
      <w:r w:rsidR="005F064D" w:rsidRPr="001765A5">
        <w:t>one of the wisest administrators in history, and set himself to re</w:t>
      </w:r>
      <w:r w:rsidR="00CF4C06" w:rsidRPr="001765A5">
        <w:t>e</w:t>
      </w:r>
      <w:r w:rsidR="005F064D" w:rsidRPr="001765A5">
        <w:t xml:space="preserve">stablish his realm in a way that became a model of imperial organization till the fall of Rome. </w:t>
      </w:r>
    </w:p>
    <w:p w14:paraId="0DF174C6" w14:textId="1C6E570F" w:rsidR="00385FBA" w:rsidRPr="001765A5" w:rsidRDefault="005F064D" w:rsidP="005F064D">
      <w:pPr>
        <w:pStyle w:val="ListParagraph"/>
        <w:numPr>
          <w:ilvl w:val="2"/>
          <w:numId w:val="1"/>
        </w:numPr>
      </w:pPr>
      <w:r w:rsidRPr="001765A5">
        <w:t xml:space="preserve">“At its greatest extent, under Darius, the Persian Empire included twenty provinces or “satrapies,” embracing Egypt, Palestine, Syria, Phoenicia, Lydia, Phrygia, Ionia, Cappadocia, Cilicia, Armenia, Assyria, the Caucasus, Babylonia, Media, Persia, the modern Afghanistan and Baluchistan, India west of the Indus, Sogdiana, Bactria, and the regions of the Massagetæ and other central Asiatic tribes. </w:t>
      </w:r>
    </w:p>
    <w:p w14:paraId="500E9F88" w14:textId="77777777" w:rsidR="00564A6D" w:rsidRPr="001765A5" w:rsidRDefault="00564A6D" w:rsidP="00564A6D"/>
    <w:p w14:paraId="7935F371" w14:textId="432051EA" w:rsidR="00385FBA" w:rsidRPr="000D6ADE" w:rsidRDefault="005F064D" w:rsidP="00385FBA">
      <w:pPr>
        <w:pStyle w:val="ListParagraph"/>
        <w:numPr>
          <w:ilvl w:val="0"/>
          <w:numId w:val="1"/>
        </w:numPr>
      </w:pPr>
      <w:r w:rsidRPr="001765A5">
        <w:rPr>
          <w:b/>
          <w:bCs/>
        </w:rPr>
        <w:t>Life in Persia</w:t>
      </w:r>
    </w:p>
    <w:p w14:paraId="49F34B55" w14:textId="77777777" w:rsidR="000D6ADE" w:rsidRPr="001765A5" w:rsidRDefault="000D6ADE" w:rsidP="000D6ADE">
      <w:pPr>
        <w:pStyle w:val="ListParagraph"/>
        <w:ind w:left="1080"/>
      </w:pPr>
    </w:p>
    <w:p w14:paraId="6A64300F" w14:textId="7719C0B2" w:rsidR="005F064D" w:rsidRPr="001765A5" w:rsidRDefault="005F064D" w:rsidP="00385FBA">
      <w:pPr>
        <w:pStyle w:val="ListParagraph"/>
        <w:numPr>
          <w:ilvl w:val="0"/>
          <w:numId w:val="1"/>
        </w:numPr>
      </w:pPr>
      <w:r w:rsidRPr="001765A5">
        <w:rPr>
          <w:b/>
          <w:bCs/>
        </w:rPr>
        <w:t>The Religion of Persia</w:t>
      </w:r>
    </w:p>
    <w:p w14:paraId="26D2C62D" w14:textId="4CB90652" w:rsidR="003A7C78" w:rsidRPr="001765A5" w:rsidRDefault="00385FBA" w:rsidP="003A7C78">
      <w:pPr>
        <w:pStyle w:val="ListParagraph"/>
        <w:numPr>
          <w:ilvl w:val="1"/>
          <w:numId w:val="1"/>
        </w:numPr>
      </w:pPr>
      <w:r w:rsidRPr="001765A5">
        <w:t>Originally polytheistic pagan until the advent of the Prophet Zoroaster (</w:t>
      </w:r>
      <w:r w:rsidR="001765A5" w:rsidRPr="001765A5">
        <w:t>Zarathustra</w:t>
      </w:r>
      <w:r w:rsidRPr="001765A5">
        <w:t>) c.600 BC.</w:t>
      </w:r>
    </w:p>
    <w:p w14:paraId="3A9B8F3A" w14:textId="77777777" w:rsidR="00385FBA" w:rsidRPr="001765A5" w:rsidRDefault="00385FBA" w:rsidP="005F064D">
      <w:pPr>
        <w:pStyle w:val="ListParagraph"/>
        <w:numPr>
          <w:ilvl w:val="1"/>
          <w:numId w:val="1"/>
        </w:numPr>
      </w:pPr>
      <w:r w:rsidRPr="001765A5">
        <w:t>Principle Deities</w:t>
      </w:r>
    </w:p>
    <w:p w14:paraId="2E265AAA" w14:textId="7CD26C00" w:rsidR="00385FBA" w:rsidRPr="001765A5" w:rsidRDefault="005F064D" w:rsidP="00385FBA">
      <w:pPr>
        <w:pStyle w:val="ListParagraph"/>
        <w:numPr>
          <w:ilvl w:val="2"/>
          <w:numId w:val="1"/>
        </w:numPr>
      </w:pPr>
      <w:r w:rsidRPr="001765A5">
        <w:rPr>
          <w:i/>
          <w:iCs/>
        </w:rPr>
        <w:t>Ahura-Mazda.</w:t>
      </w:r>
      <w:r w:rsidRPr="001765A5">
        <w:t xml:space="preserve"> Belief in divine beings, </w:t>
      </w:r>
      <w:r w:rsidRPr="001765A5">
        <w:rPr>
          <w:i/>
        </w:rPr>
        <w:t>Ahuras,</w:t>
      </w:r>
      <w:r w:rsidRPr="001765A5">
        <w:t xml:space="preserve"> was probably part of the older Aryan religion. Zoroaster appears in a new personal relationship to Ahura-Mazda, whom Zoroaster may have seen as the personification of all of the other divine qualities.</w:t>
      </w:r>
      <w:r w:rsidRPr="001765A5">
        <w:rPr>
          <w:vertAlign w:val="superscript"/>
        </w:rPr>
        <w:footnoteReference w:id="1"/>
      </w:r>
    </w:p>
    <w:p w14:paraId="66E2D37D" w14:textId="5B722158" w:rsidR="00385FBA" w:rsidRDefault="00385FBA" w:rsidP="00385FBA">
      <w:pPr>
        <w:pStyle w:val="ListParagraph"/>
        <w:numPr>
          <w:ilvl w:val="2"/>
          <w:numId w:val="1"/>
        </w:numPr>
      </w:pPr>
      <w:r w:rsidRPr="001765A5">
        <w:rPr>
          <w:i/>
          <w:iCs/>
        </w:rPr>
        <w:t>Angro-Mainyus</w:t>
      </w:r>
      <w:r w:rsidRPr="001765A5">
        <w:t xml:space="preserve"> or </w:t>
      </w:r>
      <w:r w:rsidRPr="001765A5">
        <w:rPr>
          <w:i/>
          <w:iCs/>
        </w:rPr>
        <w:t>Ahriman</w:t>
      </w:r>
      <w:r w:rsidRPr="001765A5">
        <w:t>, Prince of Darkness and ruler of the nether world</w:t>
      </w:r>
      <w:r w:rsidR="00564A6D" w:rsidRPr="001765A5">
        <w:t>.</w:t>
      </w:r>
    </w:p>
    <w:p w14:paraId="44762275" w14:textId="77777777" w:rsidR="003A7C78" w:rsidRPr="001765A5" w:rsidRDefault="003A7C78" w:rsidP="003A7C78">
      <w:pPr>
        <w:pStyle w:val="ListParagraph"/>
        <w:ind w:left="2160"/>
      </w:pPr>
    </w:p>
    <w:p w14:paraId="4A56D94A" w14:textId="77777777" w:rsidR="00FF1301" w:rsidRPr="001765A5" w:rsidRDefault="00FF1301" w:rsidP="00FF1301">
      <w:pPr>
        <w:pStyle w:val="ListParagraph"/>
        <w:numPr>
          <w:ilvl w:val="1"/>
          <w:numId w:val="1"/>
        </w:numPr>
      </w:pPr>
      <w:r w:rsidRPr="001765A5">
        <w:lastRenderedPageBreak/>
        <w:t>Zoroastrianism</w:t>
      </w:r>
    </w:p>
    <w:p w14:paraId="165B5D42" w14:textId="4A5C19CE" w:rsidR="00385FBA" w:rsidRPr="001765A5" w:rsidRDefault="005F064D" w:rsidP="00FF1301">
      <w:pPr>
        <w:pStyle w:val="ListParagraph"/>
        <w:numPr>
          <w:ilvl w:val="2"/>
          <w:numId w:val="1"/>
        </w:numPr>
      </w:pPr>
      <w:r w:rsidRPr="001765A5">
        <w:t>According to Zoroaster, the history of the world was divided into three ages of three thousand years each. The first was the golden age of Ahura-Mazda. The second was a period of warfare with evil that ended with the coming of Zoroaster. The prophet brought a new force enabling humans to participate in separating truth from falsehood. The final period would extend until the renovation of the world.</w:t>
      </w:r>
    </w:p>
    <w:p w14:paraId="22F54CFE" w14:textId="4C96B2B1" w:rsidR="00385FBA" w:rsidRPr="001765A5" w:rsidRDefault="00385FBA" w:rsidP="00FF1301">
      <w:pPr>
        <w:pStyle w:val="ListParagraph"/>
        <w:numPr>
          <w:ilvl w:val="2"/>
          <w:numId w:val="1"/>
        </w:numPr>
      </w:pPr>
      <w:r w:rsidRPr="001765A5">
        <w:t>“By picturing the world as the scene of a struggle between good and evil, the Zoroastrians established in the popular imagination a powerful supernatural stimulus and sanction for morals. The soul of man, like the universe, was represented as a battleground of beneficent and maleficent spirits; every man was a warrior, whether he liked it or not, in the army of either the Lord or the Devil; every act or omission advanced the cause of Ahura-Mazda or of Ahriman.” (William Durant)</w:t>
      </w:r>
    </w:p>
    <w:p w14:paraId="2A38D524" w14:textId="7D0B47F5" w:rsidR="00FF1301" w:rsidRDefault="005F064D" w:rsidP="00FF1301">
      <w:pPr>
        <w:pStyle w:val="ListParagraph"/>
        <w:numPr>
          <w:ilvl w:val="2"/>
          <w:numId w:val="1"/>
        </w:numPr>
      </w:pPr>
      <w:r w:rsidRPr="001765A5">
        <w:t>Some elements of this belief appear to have influenced the development of angelology, dualism, belief in an evil power, Satan, and a periodized story of the world that we find in the Judaism of the Greco-Roman period, especially in apocryphal writings such as Daniel.</w:t>
      </w:r>
      <w:r w:rsidRPr="001765A5">
        <w:rPr>
          <w:vertAlign w:val="superscript"/>
        </w:rPr>
        <w:footnoteReference w:id="2"/>
      </w:r>
    </w:p>
    <w:p w14:paraId="34D46FDA" w14:textId="77777777" w:rsidR="003A7C78" w:rsidRPr="001765A5" w:rsidRDefault="003A7C78" w:rsidP="003A7C78">
      <w:pPr>
        <w:pStyle w:val="ListParagraph"/>
        <w:ind w:left="2160"/>
      </w:pPr>
    </w:p>
    <w:p w14:paraId="6389DFC2" w14:textId="57FAE994" w:rsidR="00FF1301" w:rsidRPr="001765A5" w:rsidRDefault="00FF1301" w:rsidP="00FF1301">
      <w:pPr>
        <w:pStyle w:val="ListParagraph"/>
        <w:numPr>
          <w:ilvl w:val="1"/>
          <w:numId w:val="1"/>
        </w:numPr>
      </w:pPr>
      <w:r w:rsidRPr="001765A5">
        <w:t>The Magi</w:t>
      </w:r>
    </w:p>
    <w:p w14:paraId="55691958" w14:textId="3923B8FB" w:rsidR="00FF1301" w:rsidRPr="001765A5" w:rsidRDefault="005F064D" w:rsidP="005F064D">
      <w:pPr>
        <w:pStyle w:val="ListParagraph"/>
        <w:numPr>
          <w:ilvl w:val="2"/>
          <w:numId w:val="1"/>
        </w:numPr>
      </w:pPr>
      <w:r w:rsidRPr="001765A5">
        <w:t>“Wise Men</w:t>
      </w:r>
      <w:r w:rsidR="000D6ADE">
        <w:t>.</w:t>
      </w:r>
      <w:r w:rsidRPr="001765A5">
        <w:t xml:space="preserve">” </w:t>
      </w:r>
    </w:p>
    <w:p w14:paraId="17A34722" w14:textId="79ACE9D4" w:rsidR="005F064D" w:rsidRPr="001765A5" w:rsidRDefault="00FF1301" w:rsidP="005F064D">
      <w:pPr>
        <w:pStyle w:val="ListParagraph"/>
        <w:numPr>
          <w:ilvl w:val="2"/>
          <w:numId w:val="1"/>
        </w:numPr>
      </w:pPr>
      <w:r w:rsidRPr="001765A5">
        <w:t>A</w:t>
      </w:r>
      <w:r w:rsidR="005F064D" w:rsidRPr="001765A5">
        <w:t xml:space="preserve"> high reputation for wisdom</w:t>
      </w:r>
      <w:r w:rsidR="000D6ADE">
        <w:t>.</w:t>
      </w:r>
    </w:p>
    <w:p w14:paraId="3BE20099" w14:textId="6621D5A7" w:rsidR="00FF1301" w:rsidRDefault="00FF1301" w:rsidP="005F064D">
      <w:pPr>
        <w:pStyle w:val="ListParagraph"/>
        <w:numPr>
          <w:ilvl w:val="2"/>
          <w:numId w:val="1"/>
        </w:numPr>
      </w:pPr>
      <w:r w:rsidRPr="001765A5">
        <w:t>Origin of the word Magic</w:t>
      </w:r>
      <w:r w:rsidR="000D6ADE">
        <w:t>.</w:t>
      </w:r>
    </w:p>
    <w:p w14:paraId="3B0E4FBE" w14:textId="77777777" w:rsidR="003A7C78" w:rsidRPr="001765A5" w:rsidRDefault="003A7C78" w:rsidP="003A7C78">
      <w:pPr>
        <w:pStyle w:val="ListParagraph"/>
        <w:ind w:left="2160"/>
      </w:pPr>
    </w:p>
    <w:p w14:paraId="2B45B5F7" w14:textId="77777777" w:rsidR="003A7C78" w:rsidRDefault="005F064D" w:rsidP="00FF1301">
      <w:pPr>
        <w:pStyle w:val="ListParagraph"/>
        <w:numPr>
          <w:ilvl w:val="1"/>
          <w:numId w:val="1"/>
        </w:numPr>
      </w:pPr>
      <w:r w:rsidRPr="001765A5">
        <w:t>Zoroastrian elements in Persian religion faded away; they were revived for a time under the Sassanid Dynasty (226-651 A.D.), but were finally eliminated by the Moslem and Tatar invasions of Persia.</w:t>
      </w:r>
    </w:p>
    <w:p w14:paraId="23287241" w14:textId="151D9765" w:rsidR="00FF1301" w:rsidRPr="001765A5" w:rsidRDefault="005F064D" w:rsidP="003A7C78">
      <w:pPr>
        <w:pStyle w:val="ListParagraph"/>
        <w:ind w:left="1440"/>
      </w:pPr>
      <w:r w:rsidRPr="001765A5">
        <w:t xml:space="preserve"> </w:t>
      </w:r>
    </w:p>
    <w:p w14:paraId="1974B349" w14:textId="75852735" w:rsidR="00FF1301" w:rsidRPr="001765A5" w:rsidRDefault="005F064D" w:rsidP="00FF1301">
      <w:pPr>
        <w:pStyle w:val="ListParagraph"/>
        <w:numPr>
          <w:ilvl w:val="1"/>
          <w:numId w:val="1"/>
        </w:numPr>
        <w:rPr>
          <w:b/>
          <w:bCs/>
        </w:rPr>
      </w:pPr>
      <w:r w:rsidRPr="001765A5">
        <w:t xml:space="preserve">Zoroastrianism survives today only among small communities in the province of Fars, and among the ninety thousand Parsees of India. </w:t>
      </w:r>
    </w:p>
    <w:p w14:paraId="103E2274" w14:textId="77777777" w:rsidR="00564A6D" w:rsidRPr="001765A5" w:rsidRDefault="00564A6D" w:rsidP="00564A6D">
      <w:pPr>
        <w:rPr>
          <w:b/>
          <w:bCs/>
        </w:rPr>
      </w:pPr>
    </w:p>
    <w:p w14:paraId="26A497EF" w14:textId="35FF9F93" w:rsidR="00FF1301" w:rsidRPr="001765A5" w:rsidRDefault="005F064D" w:rsidP="00FF1301">
      <w:pPr>
        <w:pStyle w:val="ListParagraph"/>
        <w:numPr>
          <w:ilvl w:val="0"/>
          <w:numId w:val="1"/>
        </w:numPr>
        <w:rPr>
          <w:b/>
          <w:bCs/>
        </w:rPr>
      </w:pPr>
      <w:r w:rsidRPr="001765A5">
        <w:rPr>
          <w:b/>
          <w:bCs/>
        </w:rPr>
        <w:t>Persia and the People of God</w:t>
      </w:r>
    </w:p>
    <w:p w14:paraId="2A99AA3D" w14:textId="5CF895A9" w:rsidR="00564A6D" w:rsidRPr="001765A5" w:rsidRDefault="00564A6D" w:rsidP="00564A6D">
      <w:pPr>
        <w:rPr>
          <w:b/>
          <w:bCs/>
        </w:rPr>
      </w:pPr>
    </w:p>
    <w:p w14:paraId="341A4829" w14:textId="74456C6F" w:rsidR="001765A5" w:rsidRPr="001765A5" w:rsidRDefault="00564A6D" w:rsidP="001765A5">
      <w:pPr>
        <w:autoSpaceDE w:val="0"/>
        <w:autoSpaceDN w:val="0"/>
        <w:adjustRightInd w:val="0"/>
        <w:ind w:left="720"/>
        <w:jc w:val="both"/>
        <w:rPr>
          <w:rFonts w:cs="Times New Roman"/>
          <w:i/>
          <w:iCs/>
        </w:rPr>
      </w:pPr>
      <w:r w:rsidRPr="004C102E">
        <w:rPr>
          <w:rFonts w:cs="Times New Roman"/>
          <w:i/>
          <w:iCs/>
        </w:rPr>
        <w:t xml:space="preserve">Comfort, comfort my people, says your God. </w:t>
      </w:r>
      <w:r w:rsidRPr="004C102E">
        <w:rPr>
          <w:rFonts w:cs="Times New Roman"/>
          <w:b/>
          <w:i/>
          <w:iCs/>
          <w:vertAlign w:val="superscript"/>
        </w:rPr>
        <w:t>2 </w:t>
      </w:r>
      <w:r w:rsidRPr="004C102E">
        <w:rPr>
          <w:rFonts w:cs="Times New Roman"/>
          <w:i/>
          <w:iCs/>
        </w:rPr>
        <w:t xml:space="preserve">Speak tenderly to Jerusalem, and cry to her that her warfare is ended, that her iniquity is pardoned, that she has received from the </w:t>
      </w:r>
      <w:r w:rsidRPr="004C102E">
        <w:rPr>
          <w:rFonts w:cs="Times New Roman"/>
          <w:i/>
          <w:iCs/>
          <w:smallCaps/>
        </w:rPr>
        <w:t>Lord</w:t>
      </w:r>
      <w:r w:rsidRPr="004C102E">
        <w:rPr>
          <w:rFonts w:cs="Times New Roman"/>
          <w:i/>
          <w:iCs/>
        </w:rPr>
        <w:t xml:space="preserve">’s hand double for all her sins. </w:t>
      </w:r>
    </w:p>
    <w:p w14:paraId="4557B328" w14:textId="3224D3F3" w:rsidR="00564A6D" w:rsidRPr="001765A5" w:rsidRDefault="001765A5" w:rsidP="001765A5">
      <w:pPr>
        <w:tabs>
          <w:tab w:val="right" w:pos="200"/>
          <w:tab w:val="left" w:pos="400"/>
        </w:tabs>
        <w:autoSpaceDE w:val="0"/>
        <w:autoSpaceDN w:val="0"/>
        <w:adjustRightInd w:val="0"/>
        <w:ind w:left="960" w:hanging="960"/>
        <w:jc w:val="right"/>
        <w:rPr>
          <w:rFonts w:cs="Times New Roman"/>
        </w:rPr>
      </w:pPr>
      <w:r w:rsidRPr="001765A5">
        <w:rPr>
          <w:rFonts w:cs="Times New Roman"/>
        </w:rPr>
        <w:t>-</w:t>
      </w:r>
      <w:r w:rsidR="00564A6D" w:rsidRPr="001765A5">
        <w:rPr>
          <w:rFonts w:cs="Times New Roman"/>
        </w:rPr>
        <w:t>Isaiah 40:1-2</w:t>
      </w:r>
    </w:p>
    <w:p w14:paraId="439DDF2A" w14:textId="628ABC66" w:rsidR="001765A5" w:rsidRPr="001765A5" w:rsidRDefault="00564A6D" w:rsidP="001765A5">
      <w:pPr>
        <w:ind w:left="720"/>
        <w:rPr>
          <w:rFonts w:cs="Times New Roman"/>
          <w:i/>
          <w:iCs/>
        </w:rPr>
      </w:pPr>
      <w:r w:rsidRPr="001765A5">
        <w:rPr>
          <w:rFonts w:cs="Times New Roman"/>
          <w:b/>
          <w:i/>
          <w:iCs/>
          <w:vertAlign w:val="superscript"/>
        </w:rPr>
        <w:t>22 </w:t>
      </w:r>
      <w:r w:rsidRPr="001765A5">
        <w:rPr>
          <w:rFonts w:cs="Times New Roman"/>
          <w:i/>
          <w:iCs/>
        </w:rPr>
        <w:t xml:space="preserve">Now in the first year of </w:t>
      </w:r>
      <w:r w:rsidRPr="001765A5">
        <w:rPr>
          <w:rFonts w:cs="Times New Roman"/>
          <w:i/>
          <w:iCs/>
          <w:color w:val="000000"/>
        </w:rPr>
        <w:t>Cyrus</w:t>
      </w:r>
      <w:r w:rsidRPr="001765A5">
        <w:rPr>
          <w:rFonts w:cs="Times New Roman"/>
          <w:i/>
          <w:iCs/>
        </w:rPr>
        <w:t xml:space="preserve"> king of Persia, that the word of the </w:t>
      </w:r>
      <w:r w:rsidRPr="001765A5">
        <w:rPr>
          <w:rFonts w:cs="Times New Roman"/>
          <w:i/>
          <w:iCs/>
          <w:smallCaps/>
        </w:rPr>
        <w:t>Lord</w:t>
      </w:r>
      <w:r w:rsidRPr="001765A5">
        <w:rPr>
          <w:rFonts w:cs="Times New Roman"/>
          <w:i/>
          <w:iCs/>
        </w:rPr>
        <w:t xml:space="preserve"> by the mouth of Jeremiah might be fulfilled, the </w:t>
      </w:r>
      <w:r w:rsidRPr="001765A5">
        <w:rPr>
          <w:rFonts w:cs="Times New Roman"/>
          <w:i/>
          <w:iCs/>
          <w:smallCaps/>
        </w:rPr>
        <w:t>Lord</w:t>
      </w:r>
      <w:r w:rsidRPr="001765A5">
        <w:rPr>
          <w:rFonts w:cs="Times New Roman"/>
          <w:i/>
          <w:iCs/>
        </w:rPr>
        <w:t xml:space="preserve"> stirred up the spirit of </w:t>
      </w:r>
      <w:r w:rsidRPr="001765A5">
        <w:rPr>
          <w:rFonts w:cs="Times New Roman"/>
          <w:i/>
          <w:iCs/>
          <w:color w:val="000000"/>
        </w:rPr>
        <w:t>Cyrus</w:t>
      </w:r>
      <w:r w:rsidRPr="001765A5">
        <w:rPr>
          <w:rFonts w:cs="Times New Roman"/>
          <w:i/>
          <w:iCs/>
        </w:rPr>
        <w:t xml:space="preserve"> king of Persia, so that he made a proclamation throughout all his kingdom and also put it in writing: </w:t>
      </w:r>
      <w:r w:rsidRPr="001765A5">
        <w:rPr>
          <w:rFonts w:cs="Times New Roman"/>
          <w:b/>
          <w:i/>
          <w:iCs/>
          <w:vertAlign w:val="superscript"/>
        </w:rPr>
        <w:t>23 </w:t>
      </w:r>
      <w:r w:rsidRPr="001765A5">
        <w:rPr>
          <w:rFonts w:cs="Times New Roman"/>
          <w:i/>
          <w:iCs/>
        </w:rPr>
        <w:t xml:space="preserve">“Thus says </w:t>
      </w:r>
      <w:r w:rsidRPr="001765A5">
        <w:rPr>
          <w:rFonts w:cs="Times New Roman"/>
          <w:i/>
          <w:iCs/>
          <w:color w:val="000000"/>
        </w:rPr>
        <w:t>Cyrus</w:t>
      </w:r>
      <w:r w:rsidRPr="001765A5">
        <w:rPr>
          <w:rFonts w:cs="Times New Roman"/>
          <w:i/>
          <w:iCs/>
        </w:rPr>
        <w:t xml:space="preserve"> king of Persia, ‘The </w:t>
      </w:r>
      <w:r w:rsidRPr="001765A5">
        <w:rPr>
          <w:rFonts w:cs="Times New Roman"/>
          <w:i/>
          <w:iCs/>
          <w:smallCaps/>
        </w:rPr>
        <w:t>Lord</w:t>
      </w:r>
      <w:r w:rsidRPr="001765A5">
        <w:rPr>
          <w:rFonts w:cs="Times New Roman"/>
          <w:i/>
          <w:iCs/>
        </w:rPr>
        <w:t xml:space="preserve">, the God of heaven, has given me all the kingdoms of the earth, and he has charged me to build him a house at Jerusalem, which is in Judah. Whoever is among you of all his people, may the </w:t>
      </w:r>
      <w:r w:rsidRPr="001765A5">
        <w:rPr>
          <w:rFonts w:cs="Times New Roman"/>
          <w:i/>
          <w:iCs/>
          <w:smallCaps/>
        </w:rPr>
        <w:t>Lord</w:t>
      </w:r>
      <w:r w:rsidRPr="001765A5">
        <w:rPr>
          <w:rFonts w:cs="Times New Roman"/>
          <w:i/>
          <w:iCs/>
        </w:rPr>
        <w:t xml:space="preserve"> his God be with him. Let him go up.’”</w:t>
      </w:r>
    </w:p>
    <w:p w14:paraId="5080EA4F" w14:textId="4B56F891" w:rsidR="00564A6D" w:rsidRPr="001765A5" w:rsidRDefault="00564A6D" w:rsidP="001765A5">
      <w:pPr>
        <w:ind w:left="240"/>
        <w:jc w:val="right"/>
        <w:rPr>
          <w:rFonts w:cs="Times New Roman"/>
          <w:i/>
          <w:iCs/>
        </w:rPr>
      </w:pPr>
      <w:r w:rsidRPr="001765A5">
        <w:rPr>
          <w:rFonts w:cs="Times New Roman"/>
          <w:i/>
          <w:iCs/>
        </w:rPr>
        <w:t>2 Ch 36:22–23</w:t>
      </w:r>
    </w:p>
    <w:p w14:paraId="7CA9BE4C" w14:textId="77777777" w:rsidR="00564A6D" w:rsidRPr="001765A5" w:rsidRDefault="00564A6D" w:rsidP="00564A6D">
      <w:pPr>
        <w:rPr>
          <w:rFonts w:cs="Times New Roman"/>
        </w:rPr>
      </w:pPr>
    </w:p>
    <w:p w14:paraId="50291B4D" w14:textId="77777777" w:rsidR="001765A5" w:rsidRPr="001765A5" w:rsidRDefault="00564A6D" w:rsidP="001765A5">
      <w:pPr>
        <w:autoSpaceDE w:val="0"/>
        <w:autoSpaceDN w:val="0"/>
        <w:adjustRightInd w:val="0"/>
        <w:ind w:left="720"/>
        <w:jc w:val="both"/>
        <w:rPr>
          <w:rFonts w:cs="Times New Roman"/>
          <w:i/>
          <w:iCs/>
        </w:rPr>
      </w:pPr>
      <w:r w:rsidRPr="00CF4C06">
        <w:rPr>
          <w:rFonts w:cs="Times New Roman"/>
          <w:b/>
          <w:i/>
          <w:iCs/>
          <w:vertAlign w:val="superscript"/>
        </w:rPr>
        <w:t>4 </w:t>
      </w:r>
      <w:r w:rsidRPr="00CF4C06">
        <w:rPr>
          <w:rFonts w:cs="Times New Roman"/>
          <w:i/>
          <w:iCs/>
        </w:rPr>
        <w:t>And let each survivor, in whatever place he sojourns, be assisted by the men of his place with silver and gold, with goods and with beasts, besides freewill offerings for the house of God that is in Jerusalem.”</w:t>
      </w:r>
      <w:r w:rsidRPr="001765A5">
        <w:rPr>
          <w:rFonts w:cs="Times New Roman"/>
          <w:i/>
          <w:iCs/>
        </w:rPr>
        <w:t xml:space="preserve"> </w:t>
      </w:r>
    </w:p>
    <w:p w14:paraId="08068E23" w14:textId="7D28A15B" w:rsidR="00564A6D" w:rsidRPr="00CF4C06" w:rsidRDefault="00564A6D" w:rsidP="001765A5">
      <w:pPr>
        <w:autoSpaceDE w:val="0"/>
        <w:autoSpaceDN w:val="0"/>
        <w:adjustRightInd w:val="0"/>
        <w:ind w:left="720"/>
        <w:jc w:val="right"/>
        <w:rPr>
          <w:rFonts w:cs="Times New Roman"/>
          <w:i/>
          <w:iCs/>
        </w:rPr>
      </w:pPr>
      <w:r w:rsidRPr="001765A5">
        <w:rPr>
          <w:rFonts w:cs="Times New Roman"/>
          <w:i/>
          <w:iCs/>
        </w:rPr>
        <w:t>Ezra 1:4</w:t>
      </w:r>
    </w:p>
    <w:p w14:paraId="47924AA3" w14:textId="77777777" w:rsidR="00564A6D" w:rsidRPr="001765A5" w:rsidRDefault="00564A6D" w:rsidP="00564A6D">
      <w:pPr>
        <w:rPr>
          <w:b/>
          <w:bCs/>
        </w:rPr>
      </w:pPr>
    </w:p>
    <w:p w14:paraId="62F5A2F4" w14:textId="2109A2C2" w:rsidR="00FF1301" w:rsidRPr="003A7C78" w:rsidRDefault="00FF1301" w:rsidP="00FF1301">
      <w:pPr>
        <w:pStyle w:val="ListParagraph"/>
        <w:numPr>
          <w:ilvl w:val="1"/>
          <w:numId w:val="1"/>
        </w:numPr>
        <w:rPr>
          <w:b/>
          <w:bCs/>
        </w:rPr>
      </w:pPr>
      <w:r w:rsidRPr="001765A5">
        <w:t>Cyrus conquered the Babylonians</w:t>
      </w:r>
      <w:r w:rsidR="000D6ADE">
        <w:t>.</w:t>
      </w:r>
      <w:r w:rsidRPr="001765A5">
        <w:t xml:space="preserve"> He allowed the people to return. Ezra, Nehemiah tell of Judah’s return—first of the rebuilding of the Temple and then (</w:t>
      </w:r>
      <w:r w:rsidR="000D6ADE">
        <w:t>i</w:t>
      </w:r>
      <w:r w:rsidRPr="001765A5">
        <w:t xml:space="preserve">n Nehemiah) the rebuilding of the wall and the city, beginning in 538 B.C. </w:t>
      </w:r>
    </w:p>
    <w:p w14:paraId="09B5A773" w14:textId="77777777" w:rsidR="003A7C78" w:rsidRPr="001765A5" w:rsidRDefault="003A7C78" w:rsidP="003A7C78">
      <w:pPr>
        <w:pStyle w:val="ListParagraph"/>
        <w:ind w:left="1440"/>
        <w:rPr>
          <w:b/>
          <w:bCs/>
        </w:rPr>
      </w:pPr>
    </w:p>
    <w:p w14:paraId="10EAE92A" w14:textId="19C01425" w:rsidR="00FF1301" w:rsidRPr="003A7C78" w:rsidRDefault="005F064D" w:rsidP="00FF1301">
      <w:pPr>
        <w:pStyle w:val="ListParagraph"/>
        <w:numPr>
          <w:ilvl w:val="1"/>
          <w:numId w:val="1"/>
        </w:numPr>
        <w:rPr>
          <w:b/>
          <w:bCs/>
        </w:rPr>
      </w:pPr>
      <w:r w:rsidRPr="001765A5">
        <w:t xml:space="preserve">Cyrus is hailed as the chosen deliverer of the Jews from Babylon (Isa. 44:28, ‘my shepherd’; 45:1, ‘my anointed’) and as stirred up by God to rebuild the Jerusalem Temple (2 Chron. 36:22–23; Ezra 1:1–2; 3:7; 4:3). </w:t>
      </w:r>
    </w:p>
    <w:p w14:paraId="78D18C81" w14:textId="0C8FBE1F" w:rsidR="003A7C78" w:rsidRPr="003A7C78" w:rsidRDefault="003A7C78" w:rsidP="003A7C78">
      <w:pPr>
        <w:rPr>
          <w:b/>
          <w:bCs/>
        </w:rPr>
      </w:pPr>
    </w:p>
    <w:p w14:paraId="6C403025" w14:textId="262B1854" w:rsidR="00CF4C06" w:rsidRPr="001765A5" w:rsidRDefault="005F064D" w:rsidP="005F064D">
      <w:pPr>
        <w:pStyle w:val="ListParagraph"/>
        <w:numPr>
          <w:ilvl w:val="1"/>
          <w:numId w:val="1"/>
        </w:numPr>
        <w:rPr>
          <w:b/>
          <w:bCs/>
        </w:rPr>
      </w:pPr>
      <w:r w:rsidRPr="001765A5">
        <w:t>The reign of Darius I provides the dating framework for the books of Haggai and Zechariah. Artaxerxes is mentioned in Ezra 6:14; 7:1; and 9:9 and in Neh. 2:1; 5:14; and 13:6. The story of Esther is set in the reign of Ahasuerus (Xerxes, 1:1–2). A later Darius (II or III) is named in Neh. 12:22.</w:t>
      </w:r>
    </w:p>
    <w:p w14:paraId="5E51238F" w14:textId="77777777" w:rsidR="00564A6D" w:rsidRPr="001765A5" w:rsidRDefault="00564A6D" w:rsidP="00564A6D">
      <w:pPr>
        <w:rPr>
          <w:b/>
          <w:bCs/>
        </w:rPr>
      </w:pPr>
    </w:p>
    <w:p w14:paraId="463AD05D" w14:textId="10C6D055" w:rsidR="003527D9" w:rsidRPr="001765A5" w:rsidRDefault="00FE2161" w:rsidP="003527D9">
      <w:pPr>
        <w:pStyle w:val="ListParagraph"/>
        <w:numPr>
          <w:ilvl w:val="0"/>
          <w:numId w:val="1"/>
        </w:numPr>
        <w:rPr>
          <w:b/>
          <w:bCs/>
        </w:rPr>
      </w:pPr>
      <w:r w:rsidRPr="001765A5">
        <w:rPr>
          <w:b/>
          <w:bCs/>
        </w:rPr>
        <w:t xml:space="preserve">Conclusion: </w:t>
      </w:r>
      <w:r w:rsidR="004C102E" w:rsidRPr="001765A5">
        <w:rPr>
          <w:b/>
          <w:bCs/>
        </w:rPr>
        <w:t>From Malachi to Matthew</w:t>
      </w:r>
      <w:r w:rsidR="003527D9" w:rsidRPr="001765A5">
        <w:rPr>
          <w:b/>
          <w:bCs/>
        </w:rPr>
        <w:t>—The Second Temple Period</w:t>
      </w:r>
    </w:p>
    <w:p w14:paraId="4E57D612" w14:textId="52CFC862" w:rsidR="003527D9" w:rsidRPr="001765A5" w:rsidRDefault="003527D9" w:rsidP="003527D9">
      <w:pPr>
        <w:pStyle w:val="ListParagraph"/>
        <w:numPr>
          <w:ilvl w:val="1"/>
          <w:numId w:val="1"/>
        </w:numPr>
      </w:pPr>
      <w:r w:rsidRPr="001765A5">
        <w:rPr>
          <w:rFonts w:cs="Times New Roman"/>
        </w:rPr>
        <w:t>The Hellenistic Period (331–164 B.C.)</w:t>
      </w:r>
      <w:r w:rsidR="000D6ADE">
        <w:rPr>
          <w:rFonts w:cs="Times New Roman"/>
        </w:rPr>
        <w:t>.</w:t>
      </w:r>
    </w:p>
    <w:p w14:paraId="38A327FA" w14:textId="77777777" w:rsidR="003527D9" w:rsidRPr="001765A5" w:rsidRDefault="003527D9" w:rsidP="003527D9">
      <w:pPr>
        <w:pStyle w:val="ListParagraph"/>
        <w:numPr>
          <w:ilvl w:val="2"/>
          <w:numId w:val="1"/>
        </w:numPr>
        <w:rPr>
          <w:rFonts w:cs="Times New Roman"/>
        </w:rPr>
      </w:pPr>
      <w:r w:rsidRPr="001765A5">
        <w:rPr>
          <w:rFonts w:cs="Times New Roman"/>
        </w:rPr>
        <w:t>Alexander the Great of Macedonia (ruled 334–323).</w:t>
      </w:r>
    </w:p>
    <w:p w14:paraId="0F5F1649" w14:textId="42BC3C63" w:rsidR="003527D9" w:rsidRPr="001765A5" w:rsidRDefault="003527D9" w:rsidP="003527D9">
      <w:pPr>
        <w:pStyle w:val="ListParagraph"/>
        <w:numPr>
          <w:ilvl w:val="2"/>
          <w:numId w:val="1"/>
        </w:numPr>
        <w:rPr>
          <w:rFonts w:cs="Times New Roman"/>
        </w:rPr>
      </w:pPr>
      <w:r w:rsidRPr="001765A5">
        <w:rPr>
          <w:rFonts w:cs="Times New Roman"/>
        </w:rPr>
        <w:t>Egyptian Ptolemaic Empire (320 to 198 B.C.)</w:t>
      </w:r>
      <w:r w:rsidR="000D6ADE">
        <w:rPr>
          <w:rFonts w:cs="Times New Roman"/>
        </w:rPr>
        <w:t>.</w:t>
      </w:r>
    </w:p>
    <w:p w14:paraId="59EBDEE4" w14:textId="11CCBA4C" w:rsidR="003527D9" w:rsidRPr="001765A5" w:rsidRDefault="003527D9" w:rsidP="003527D9">
      <w:pPr>
        <w:pStyle w:val="ListParagraph"/>
        <w:numPr>
          <w:ilvl w:val="2"/>
          <w:numId w:val="1"/>
        </w:numPr>
        <w:rPr>
          <w:rFonts w:cs="Times New Roman"/>
        </w:rPr>
      </w:pPr>
      <w:r w:rsidRPr="001765A5">
        <w:rPr>
          <w:rFonts w:cs="Times New Roman"/>
        </w:rPr>
        <w:t>Syrian/Seleucid Empire (198 to 164 B.C.).</w:t>
      </w:r>
      <w:r w:rsidR="000D6ADE">
        <w:rPr>
          <w:rFonts w:cs="Times New Roman"/>
        </w:rPr>
        <w:t>.</w:t>
      </w:r>
    </w:p>
    <w:p w14:paraId="0D751ACD" w14:textId="51757616" w:rsidR="003527D9" w:rsidRPr="001765A5" w:rsidRDefault="003527D9" w:rsidP="003527D9">
      <w:pPr>
        <w:pStyle w:val="ListParagraph"/>
        <w:numPr>
          <w:ilvl w:val="1"/>
          <w:numId w:val="1"/>
        </w:numPr>
        <w:rPr>
          <w:rFonts w:cs="Times New Roman"/>
        </w:rPr>
      </w:pPr>
      <w:r w:rsidRPr="001765A5">
        <w:rPr>
          <w:rFonts w:cs="Times New Roman"/>
        </w:rPr>
        <w:t>The Hasmonea</w:t>
      </w:r>
      <w:r w:rsidR="000D6ADE">
        <w:rPr>
          <w:rFonts w:cs="Times New Roman"/>
        </w:rPr>
        <w:t>n (Maccabean) Period (164–63 B.C.</w:t>
      </w:r>
      <w:r w:rsidRPr="001765A5">
        <w:rPr>
          <w:rFonts w:cs="Times New Roman"/>
        </w:rPr>
        <w:t>)</w:t>
      </w:r>
      <w:r w:rsidR="000D6ADE">
        <w:rPr>
          <w:rFonts w:cs="Times New Roman"/>
        </w:rPr>
        <w:t>.</w:t>
      </w:r>
    </w:p>
    <w:p w14:paraId="7626CC60" w14:textId="7148DDA3" w:rsidR="003527D9" w:rsidRPr="001765A5" w:rsidRDefault="003527D9" w:rsidP="003527D9">
      <w:pPr>
        <w:pStyle w:val="ListParagraph"/>
        <w:numPr>
          <w:ilvl w:val="1"/>
          <w:numId w:val="1"/>
        </w:numPr>
        <w:rPr>
          <w:rFonts w:cs="Times New Roman"/>
        </w:rPr>
      </w:pPr>
      <w:r w:rsidRPr="001765A5">
        <w:rPr>
          <w:rFonts w:cs="Times New Roman"/>
        </w:rPr>
        <w:t>Roman Period (63-B.C—4</w:t>
      </w:r>
      <w:r w:rsidRPr="001765A5">
        <w:rPr>
          <w:rFonts w:cs="Times New Roman"/>
          <w:vertAlign w:val="superscript"/>
        </w:rPr>
        <w:t>th</w:t>
      </w:r>
      <w:r w:rsidRPr="001765A5">
        <w:rPr>
          <w:rFonts w:cs="Times New Roman"/>
        </w:rPr>
        <w:t xml:space="preserve"> Century A.D.)</w:t>
      </w:r>
      <w:r w:rsidR="000D6ADE">
        <w:rPr>
          <w:rFonts w:cs="Times New Roman"/>
        </w:rPr>
        <w:t>.</w:t>
      </w:r>
    </w:p>
    <w:p w14:paraId="366EF9D4" w14:textId="7E81FC93" w:rsidR="003527D9" w:rsidRDefault="003527D9" w:rsidP="003527D9">
      <w:pPr>
        <w:autoSpaceDE w:val="0"/>
        <w:autoSpaceDN w:val="0"/>
        <w:adjustRightInd w:val="0"/>
        <w:rPr>
          <w:rFonts w:cs="Times New Roman"/>
          <w:b/>
          <w:bCs/>
          <w:sz w:val="26"/>
          <w:szCs w:val="26"/>
        </w:rPr>
      </w:pPr>
    </w:p>
    <w:p w14:paraId="5BC39B65" w14:textId="77777777" w:rsidR="000D6ADE" w:rsidRPr="003527D9" w:rsidRDefault="000D6ADE" w:rsidP="003527D9">
      <w:pPr>
        <w:autoSpaceDE w:val="0"/>
        <w:autoSpaceDN w:val="0"/>
        <w:adjustRightInd w:val="0"/>
        <w:rPr>
          <w:rFonts w:cs="Times New Roman"/>
          <w:b/>
          <w:bCs/>
          <w:sz w:val="26"/>
          <w:szCs w:val="26"/>
        </w:rPr>
      </w:pPr>
      <w:bookmarkStart w:id="0" w:name="_GoBack"/>
      <w:bookmarkEnd w:id="0"/>
    </w:p>
    <w:sectPr w:rsidR="000D6ADE" w:rsidRPr="003527D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318BC" w14:textId="77777777" w:rsidR="005B3391" w:rsidRDefault="005B3391" w:rsidP="009555D1">
      <w:r>
        <w:separator/>
      </w:r>
    </w:p>
  </w:endnote>
  <w:endnote w:type="continuationSeparator" w:id="0">
    <w:p w14:paraId="5555E174" w14:textId="77777777" w:rsidR="005B3391" w:rsidRDefault="005B3391" w:rsidP="0095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79E51" w14:textId="77777777" w:rsidR="005B3391" w:rsidRDefault="005B3391" w:rsidP="009555D1">
      <w:r>
        <w:separator/>
      </w:r>
    </w:p>
  </w:footnote>
  <w:footnote w:type="continuationSeparator" w:id="0">
    <w:p w14:paraId="651E8EC5" w14:textId="77777777" w:rsidR="005B3391" w:rsidRDefault="005B3391" w:rsidP="009555D1">
      <w:r>
        <w:continuationSeparator/>
      </w:r>
    </w:p>
  </w:footnote>
  <w:footnote w:id="1">
    <w:p w14:paraId="045F0BC6" w14:textId="77777777" w:rsidR="005F064D" w:rsidRPr="00FF1301" w:rsidRDefault="005F064D" w:rsidP="005F064D">
      <w:pPr>
        <w:rPr>
          <w:sz w:val="18"/>
          <w:szCs w:val="18"/>
        </w:rPr>
      </w:pPr>
      <w:r w:rsidRPr="00FF1301">
        <w:rPr>
          <w:sz w:val="18"/>
          <w:szCs w:val="18"/>
          <w:vertAlign w:val="superscript"/>
        </w:rPr>
        <w:footnoteRef/>
      </w:r>
      <w:r w:rsidRPr="00FF1301">
        <w:rPr>
          <w:sz w:val="18"/>
          <w:szCs w:val="18"/>
        </w:rPr>
        <w:t xml:space="preserve"> Achtemeier, P. J., Harper &amp; Row and Society of Biblical Literature. (1985). In </w:t>
      </w:r>
      <w:hyperlink r:id="rId1" w:history="1">
        <w:r w:rsidRPr="00FF1301">
          <w:rPr>
            <w:i/>
            <w:color w:val="0000FF"/>
            <w:sz w:val="18"/>
            <w:szCs w:val="18"/>
            <w:u w:val="single"/>
          </w:rPr>
          <w:t>Harper’s Bible dictionary</w:t>
        </w:r>
      </w:hyperlink>
      <w:r w:rsidRPr="00FF1301">
        <w:rPr>
          <w:sz w:val="18"/>
          <w:szCs w:val="18"/>
        </w:rPr>
        <w:t xml:space="preserve"> (1st ed., pp. 1167–1168). San Francisco: Harper &amp; Row.</w:t>
      </w:r>
    </w:p>
  </w:footnote>
  <w:footnote w:id="2">
    <w:p w14:paraId="4D5363BA" w14:textId="77777777" w:rsidR="005F064D" w:rsidRDefault="005F064D" w:rsidP="005F064D">
      <w:r w:rsidRPr="00FF1301">
        <w:rPr>
          <w:sz w:val="18"/>
          <w:szCs w:val="18"/>
          <w:vertAlign w:val="superscript"/>
        </w:rPr>
        <w:footnoteRef/>
      </w:r>
      <w:r w:rsidRPr="00FF1301">
        <w:rPr>
          <w:sz w:val="18"/>
          <w:szCs w:val="18"/>
        </w:rPr>
        <w:t xml:space="preserve"> Achtemeier, P. J., Harper &amp; Row and Society of Biblical Literature. (1985). In </w:t>
      </w:r>
      <w:hyperlink r:id="rId2" w:history="1">
        <w:r w:rsidRPr="00FF1301">
          <w:rPr>
            <w:i/>
            <w:color w:val="0000FF"/>
            <w:sz w:val="18"/>
            <w:szCs w:val="18"/>
            <w:u w:val="single"/>
          </w:rPr>
          <w:t>Harper’s Bible dictionary</w:t>
        </w:r>
      </w:hyperlink>
      <w:r w:rsidRPr="00FF1301">
        <w:rPr>
          <w:sz w:val="18"/>
          <w:szCs w:val="18"/>
        </w:rPr>
        <w:t xml:space="preserve"> (1st ed., p. 1168). San Francisco: Harper &amp; Row.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5777612"/>
      <w:docPartObj>
        <w:docPartGallery w:val="Page Numbers (Top of Page)"/>
        <w:docPartUnique/>
      </w:docPartObj>
    </w:sdtPr>
    <w:sdtEndPr>
      <w:rPr>
        <w:rStyle w:val="PageNumber"/>
      </w:rPr>
    </w:sdtEndPr>
    <w:sdtContent>
      <w:p w14:paraId="511B5BA8" w14:textId="6C5F63DB" w:rsidR="00FF1301" w:rsidRDefault="00FF1301" w:rsidP="005C4E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E8BB7E9" w14:textId="77777777" w:rsidR="00FF1301" w:rsidRDefault="00FF1301" w:rsidP="00FF13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9586567"/>
      <w:docPartObj>
        <w:docPartGallery w:val="Page Numbers (Top of Page)"/>
        <w:docPartUnique/>
      </w:docPartObj>
    </w:sdtPr>
    <w:sdtEndPr>
      <w:rPr>
        <w:rStyle w:val="PageNumber"/>
      </w:rPr>
    </w:sdtEndPr>
    <w:sdtContent>
      <w:p w14:paraId="3DDE61F8" w14:textId="3E9E224A" w:rsidR="00FF1301" w:rsidRDefault="00FF1301" w:rsidP="005C4E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7C78">
          <w:rPr>
            <w:rStyle w:val="PageNumber"/>
            <w:noProof/>
          </w:rPr>
          <w:t>4</w:t>
        </w:r>
        <w:r>
          <w:rPr>
            <w:rStyle w:val="PageNumber"/>
          </w:rPr>
          <w:fldChar w:fldCharType="end"/>
        </w:r>
      </w:p>
    </w:sdtContent>
  </w:sdt>
  <w:p w14:paraId="155D7857" w14:textId="77777777" w:rsidR="00FF1301" w:rsidRDefault="00FF1301" w:rsidP="00FF13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A5F76"/>
    <w:multiLevelType w:val="multilevel"/>
    <w:tmpl w:val="9508D856"/>
    <w:numStyleLink w:val="Harvard"/>
  </w:abstractNum>
  <w:abstractNum w:abstractNumId="1" w15:restartNumberingAfterBreak="0">
    <w:nsid w:val="625104EE"/>
    <w:multiLevelType w:val="hybridMultilevel"/>
    <w:tmpl w:val="9508D856"/>
    <w:styleLink w:val="Harvard"/>
    <w:lvl w:ilvl="0" w:tplc="EECA5F5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38E29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BC646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C4904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18E52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2ABAA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E28E2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56DEC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A2CB1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9867B48"/>
    <w:multiLevelType w:val="hybridMultilevel"/>
    <w:tmpl w:val="DA58244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7D2F93"/>
    <w:multiLevelType w:val="hybridMultilevel"/>
    <w:tmpl w:val="64769BB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2E18A0"/>
    <w:multiLevelType w:val="hybridMultilevel"/>
    <w:tmpl w:val="55AAC552"/>
    <w:lvl w:ilvl="0" w:tplc="232A7B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D1"/>
    <w:rsid w:val="000D6ADE"/>
    <w:rsid w:val="001765A5"/>
    <w:rsid w:val="003527D9"/>
    <w:rsid w:val="00385FBA"/>
    <w:rsid w:val="003A7C78"/>
    <w:rsid w:val="003F09E4"/>
    <w:rsid w:val="004C102E"/>
    <w:rsid w:val="005041C7"/>
    <w:rsid w:val="005526F0"/>
    <w:rsid w:val="00564A6D"/>
    <w:rsid w:val="005B3391"/>
    <w:rsid w:val="005B7096"/>
    <w:rsid w:val="005F064D"/>
    <w:rsid w:val="00793FD7"/>
    <w:rsid w:val="00835793"/>
    <w:rsid w:val="008B186E"/>
    <w:rsid w:val="009414D6"/>
    <w:rsid w:val="009555D1"/>
    <w:rsid w:val="00966746"/>
    <w:rsid w:val="00CF4C06"/>
    <w:rsid w:val="00D07E82"/>
    <w:rsid w:val="00D96460"/>
    <w:rsid w:val="00E777E1"/>
    <w:rsid w:val="00EF41A4"/>
    <w:rsid w:val="00F008FB"/>
    <w:rsid w:val="00FC5534"/>
    <w:rsid w:val="00FE2161"/>
    <w:rsid w:val="00FF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9822"/>
  <w15:chartTrackingRefBased/>
  <w15:docId w15:val="{8C0FE476-9D69-6E4E-887E-8CB3A45A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5F064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D1"/>
    <w:pPr>
      <w:ind w:left="720"/>
      <w:contextualSpacing/>
    </w:pPr>
  </w:style>
  <w:style w:type="paragraph" w:styleId="BodyText">
    <w:name w:val="Body Text"/>
    <w:basedOn w:val="Normal"/>
    <w:link w:val="BodyTextChar"/>
    <w:rsid w:val="005F064D"/>
    <w:rPr>
      <w:rFonts w:eastAsia="Times New Roman" w:cs="Times New Roman"/>
      <w:szCs w:val="20"/>
    </w:rPr>
  </w:style>
  <w:style w:type="character" w:customStyle="1" w:styleId="BodyTextChar">
    <w:name w:val="Body Text Char"/>
    <w:basedOn w:val="DefaultParagraphFont"/>
    <w:link w:val="BodyText"/>
    <w:rsid w:val="005F064D"/>
    <w:rPr>
      <w:rFonts w:ascii="Times New Roman" w:eastAsia="Times New Roman" w:hAnsi="Times New Roman" w:cs="Times New Roman"/>
      <w:szCs w:val="20"/>
    </w:rPr>
  </w:style>
  <w:style w:type="paragraph" w:customStyle="1" w:styleId="Body">
    <w:name w:val="Body"/>
    <w:rsid w:val="005F064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Harvard">
    <w:name w:val="Harvard"/>
    <w:rsid w:val="005F064D"/>
    <w:pPr>
      <w:numPr>
        <w:numId w:val="3"/>
      </w:numPr>
    </w:pPr>
  </w:style>
  <w:style w:type="paragraph" w:styleId="Footer">
    <w:name w:val="footer"/>
    <w:basedOn w:val="Normal"/>
    <w:link w:val="FooterChar"/>
    <w:uiPriority w:val="99"/>
    <w:unhideWhenUsed/>
    <w:rsid w:val="00FF1301"/>
    <w:pPr>
      <w:tabs>
        <w:tab w:val="center" w:pos="4680"/>
        <w:tab w:val="right" w:pos="9360"/>
      </w:tabs>
    </w:pPr>
  </w:style>
  <w:style w:type="character" w:customStyle="1" w:styleId="FooterChar">
    <w:name w:val="Footer Char"/>
    <w:basedOn w:val="DefaultParagraphFont"/>
    <w:link w:val="Footer"/>
    <w:uiPriority w:val="99"/>
    <w:rsid w:val="00FF1301"/>
    <w:rPr>
      <w:rFonts w:ascii="Times New Roman" w:hAnsi="Times New Roman"/>
    </w:rPr>
  </w:style>
  <w:style w:type="character" w:styleId="PageNumber">
    <w:name w:val="page number"/>
    <w:basedOn w:val="DefaultParagraphFont"/>
    <w:uiPriority w:val="99"/>
    <w:semiHidden/>
    <w:unhideWhenUsed/>
    <w:rsid w:val="00FF1301"/>
  </w:style>
  <w:style w:type="paragraph" w:styleId="Header">
    <w:name w:val="header"/>
    <w:basedOn w:val="Normal"/>
    <w:link w:val="HeaderChar"/>
    <w:uiPriority w:val="99"/>
    <w:unhideWhenUsed/>
    <w:rsid w:val="00FF1301"/>
    <w:pPr>
      <w:tabs>
        <w:tab w:val="center" w:pos="4680"/>
        <w:tab w:val="right" w:pos="9360"/>
      </w:tabs>
    </w:pPr>
  </w:style>
  <w:style w:type="character" w:customStyle="1" w:styleId="HeaderChar">
    <w:name w:val="Header Char"/>
    <w:basedOn w:val="DefaultParagraphFont"/>
    <w:link w:val="Header"/>
    <w:uiPriority w:val="99"/>
    <w:rsid w:val="00FF130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hbd?ref=Page.p+1168&amp;off=420&amp;ctx=ould+acquire+later.%0a~According+to+Zoroast" TargetMode="External"/><Relationship Id="rId1" Type="http://schemas.openxmlformats.org/officeDocument/2006/relationships/hyperlink" Target="https://ref.ly/logosres/hbd?ref=Page.p+1167&amp;off=5119&amp;ctx=het+whose+followers+~worshiped+the+de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4</cp:revision>
  <dcterms:created xsi:type="dcterms:W3CDTF">2022-11-02T16:12:00Z</dcterms:created>
  <dcterms:modified xsi:type="dcterms:W3CDTF">2022-11-02T16:29:00Z</dcterms:modified>
</cp:coreProperties>
</file>