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69A93" w14:textId="77777777" w:rsidR="005F064D" w:rsidRPr="00674300" w:rsidRDefault="005F064D" w:rsidP="005F064D">
      <w:pPr>
        <w:jc w:val="center"/>
        <w:rPr>
          <w:rFonts w:cs="Times New Roman"/>
        </w:rPr>
      </w:pPr>
      <w:r w:rsidRPr="00674300">
        <w:rPr>
          <w:rFonts w:cs="Times New Roman"/>
          <w:noProof/>
        </w:rPr>
        <w:drawing>
          <wp:inline distT="0" distB="0" distL="0" distR="0" wp14:anchorId="5C1B8D83" wp14:editId="2810C85D">
            <wp:extent cx="3517461" cy="1978572"/>
            <wp:effectExtent l="0" t="0" r="635" b="3175"/>
            <wp:docPr id="5" name="Picture 4">
              <a:extLst xmlns:a="http://schemas.openxmlformats.org/drawingml/2006/main">
                <a:ext uri="{FF2B5EF4-FFF2-40B4-BE49-F238E27FC236}">
                  <a16:creationId xmlns:a16="http://schemas.microsoft.com/office/drawing/2014/main" id="{2095755E-F617-3425-0F10-D1BC05B96C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095755E-F617-3425-0F10-D1BC05B96C47}"/>
                        </a:ext>
                      </a:extLst>
                    </pic:cNvPr>
                    <pic:cNvPicPr>
                      <a:picLocks noChangeAspect="1"/>
                    </pic:cNvPicPr>
                  </pic:nvPicPr>
                  <pic:blipFill>
                    <a:blip r:embed="rId7"/>
                    <a:stretch>
                      <a:fillRect/>
                    </a:stretch>
                  </pic:blipFill>
                  <pic:spPr>
                    <a:xfrm>
                      <a:off x="0" y="0"/>
                      <a:ext cx="3535918" cy="1988954"/>
                    </a:xfrm>
                    <a:prstGeom prst="rect">
                      <a:avLst/>
                    </a:prstGeom>
                  </pic:spPr>
                </pic:pic>
              </a:graphicData>
            </a:graphic>
          </wp:inline>
        </w:drawing>
      </w:r>
    </w:p>
    <w:p w14:paraId="32B4BC04" w14:textId="77777777" w:rsidR="005F064D" w:rsidRPr="00674300" w:rsidRDefault="005F064D" w:rsidP="005F064D">
      <w:pPr>
        <w:rPr>
          <w:rFonts w:cs="Times New Roman"/>
        </w:rPr>
      </w:pPr>
    </w:p>
    <w:p w14:paraId="5A9DAB49" w14:textId="77777777" w:rsidR="005F064D" w:rsidRPr="00674300" w:rsidRDefault="005F064D" w:rsidP="005F064D">
      <w:pPr>
        <w:rPr>
          <w:rFonts w:cs="Times New Roman"/>
        </w:rPr>
      </w:pPr>
    </w:p>
    <w:p w14:paraId="6DC0F472" w14:textId="77777777" w:rsidR="005F064D" w:rsidRPr="00FF1301" w:rsidRDefault="005F064D" w:rsidP="005F064D">
      <w:pPr>
        <w:jc w:val="center"/>
        <w:rPr>
          <w:rFonts w:cs="Times New Roman"/>
          <w:b/>
          <w:bCs/>
        </w:rPr>
      </w:pPr>
      <w:r w:rsidRPr="00FF1301">
        <w:rPr>
          <w:rFonts w:cs="Times New Roman"/>
          <w:b/>
          <w:bCs/>
        </w:rPr>
        <w:t xml:space="preserve">EPISODE 9: Exile and Diaspora: Babylon and Persia </w:t>
      </w:r>
    </w:p>
    <w:p w14:paraId="1E6EACF5" w14:textId="77777777" w:rsidR="005F064D" w:rsidRPr="00674300" w:rsidRDefault="005F064D" w:rsidP="005F064D">
      <w:pPr>
        <w:jc w:val="center"/>
        <w:rPr>
          <w:rFonts w:cs="Times New Roman"/>
        </w:rPr>
      </w:pPr>
      <w:r w:rsidRPr="00674300">
        <w:rPr>
          <w:rFonts w:cs="Times New Roman"/>
        </w:rPr>
        <w:t>Jeremiah 43-44; Daniel 1-5; Esther 1-3; Acts 2:5-11</w:t>
      </w:r>
    </w:p>
    <w:p w14:paraId="16EDEA14" w14:textId="77777777" w:rsidR="005F064D" w:rsidRPr="00674300" w:rsidRDefault="005F064D" w:rsidP="005F064D">
      <w:pPr>
        <w:jc w:val="center"/>
        <w:rPr>
          <w:rFonts w:cs="Times New Roman"/>
        </w:rPr>
      </w:pPr>
      <w:r w:rsidRPr="00674300">
        <w:rPr>
          <w:rFonts w:cs="Times New Roman"/>
        </w:rPr>
        <w:t>10/26-10/27</w:t>
      </w:r>
    </w:p>
    <w:p w14:paraId="4039C826" w14:textId="77777777" w:rsidR="005F064D" w:rsidRDefault="005F064D" w:rsidP="005F064D">
      <w:pPr>
        <w:autoSpaceDE w:val="0"/>
        <w:autoSpaceDN w:val="0"/>
        <w:adjustRightInd w:val="0"/>
        <w:ind w:left="1080" w:hanging="720"/>
      </w:pPr>
    </w:p>
    <w:p w14:paraId="03C02D34" w14:textId="77777777" w:rsidR="005F064D" w:rsidRPr="009555D1" w:rsidRDefault="005F064D" w:rsidP="005F064D">
      <w:pPr>
        <w:pStyle w:val="ListParagraph"/>
        <w:numPr>
          <w:ilvl w:val="0"/>
          <w:numId w:val="1"/>
        </w:numPr>
        <w:autoSpaceDE w:val="0"/>
        <w:autoSpaceDN w:val="0"/>
        <w:adjustRightInd w:val="0"/>
        <w:rPr>
          <w:rFonts w:cs="Times New Roman"/>
          <w:b/>
          <w:bCs/>
        </w:rPr>
      </w:pPr>
      <w:r w:rsidRPr="009555D1">
        <w:rPr>
          <w:rFonts w:cs="Times New Roman"/>
          <w:b/>
          <w:bCs/>
        </w:rPr>
        <w:t>Nebuchadnezzar’s Nightmare</w:t>
      </w:r>
      <w:r>
        <w:rPr>
          <w:rFonts w:cs="Times New Roman"/>
          <w:b/>
          <w:bCs/>
        </w:rPr>
        <w:t xml:space="preserve"> (Daniel 2:31-45)</w:t>
      </w:r>
    </w:p>
    <w:p w14:paraId="635157D3" w14:textId="4A6EF31F" w:rsidR="005F064D" w:rsidRDefault="005F064D" w:rsidP="005F064D">
      <w:pPr>
        <w:ind w:left="720"/>
        <w:rPr>
          <w:i/>
          <w:iCs/>
        </w:rPr>
      </w:pPr>
      <w:r w:rsidRPr="00337F4E">
        <w:rPr>
          <w:b/>
          <w:i/>
          <w:iCs/>
          <w:vertAlign w:val="superscript"/>
        </w:rPr>
        <w:t>31 </w:t>
      </w:r>
      <w:r w:rsidRPr="00337F4E">
        <w:rPr>
          <w:i/>
          <w:iCs/>
        </w:rPr>
        <w:t xml:space="preserve">“You saw, O king, and behold, a great image. This image, mighty and of exceeding brightness, stood before you, and its appearance was frightening. </w:t>
      </w:r>
      <w:r w:rsidRPr="00337F4E">
        <w:rPr>
          <w:b/>
          <w:i/>
          <w:iCs/>
          <w:vertAlign w:val="superscript"/>
        </w:rPr>
        <w:t>32 </w:t>
      </w:r>
      <w:r w:rsidRPr="00337F4E">
        <w:rPr>
          <w:i/>
          <w:iCs/>
        </w:rPr>
        <w:t xml:space="preserve">The head of this image was of fine gold, its chest and arms of silver, its middle and thighs of bronze, </w:t>
      </w:r>
      <w:r w:rsidRPr="00337F4E">
        <w:rPr>
          <w:b/>
          <w:i/>
          <w:iCs/>
          <w:vertAlign w:val="superscript"/>
        </w:rPr>
        <w:t>33 </w:t>
      </w:r>
      <w:r w:rsidRPr="00337F4E">
        <w:rPr>
          <w:i/>
          <w:iCs/>
        </w:rPr>
        <w:t xml:space="preserve">its legs of iron, its feet partly of iron and partly of clay. </w:t>
      </w:r>
      <w:r w:rsidRPr="00337F4E">
        <w:rPr>
          <w:b/>
          <w:i/>
          <w:iCs/>
          <w:vertAlign w:val="superscript"/>
        </w:rPr>
        <w:t>34 </w:t>
      </w:r>
      <w:r w:rsidRPr="00337F4E">
        <w:rPr>
          <w:i/>
          <w:iCs/>
        </w:rPr>
        <w:t xml:space="preserve">As you looked, a stone was cut out by no human hand, and it struck the image on its feet of iron and clay, and broke them in pieces. </w:t>
      </w:r>
      <w:r w:rsidRPr="00337F4E">
        <w:rPr>
          <w:b/>
          <w:i/>
          <w:iCs/>
          <w:vertAlign w:val="superscript"/>
        </w:rPr>
        <w:t>35 </w:t>
      </w:r>
      <w:r w:rsidRPr="00337F4E">
        <w:rPr>
          <w:i/>
          <w:iCs/>
        </w:rPr>
        <w:t>Then the iron, the clay, the bronze, the silver, and the gold, all together were broken in pieces, and became like the chaff of the summer threshing floors; and the wind carried them away, so that not a trace of them could be found. But the stone that struck the image became a great mountain and filled the whole earth.</w:t>
      </w:r>
      <w:r w:rsidRPr="00337F4E">
        <w:rPr>
          <w:i/>
          <w:iCs/>
          <w:vertAlign w:val="superscript"/>
        </w:rPr>
        <w:footnoteReference w:id="1"/>
      </w:r>
    </w:p>
    <w:p w14:paraId="42A33476" w14:textId="77777777" w:rsidR="005F064D" w:rsidRDefault="005F064D" w:rsidP="005F064D">
      <w:pPr>
        <w:ind w:left="720"/>
        <w:rPr>
          <w:i/>
          <w:iCs/>
        </w:rPr>
      </w:pPr>
    </w:p>
    <w:p w14:paraId="0A20618C" w14:textId="77777777" w:rsidR="005F064D" w:rsidRPr="00337F4E" w:rsidRDefault="005F064D" w:rsidP="005F064D">
      <w:pPr>
        <w:autoSpaceDE w:val="0"/>
        <w:autoSpaceDN w:val="0"/>
        <w:adjustRightInd w:val="0"/>
        <w:spacing w:before="360"/>
        <w:rPr>
          <w:rFonts w:ascii="Calibri" w:hAnsi="Calibri" w:cs="Calibri"/>
        </w:rPr>
      </w:pPr>
      <w:r w:rsidRPr="00337F4E">
        <w:rPr>
          <w:rFonts w:ascii="Calibri" w:hAnsi="Calibri" w:cs="Calibri"/>
          <w:b/>
          <w:bCs/>
          <w:sz w:val="22"/>
          <w:szCs w:val="22"/>
        </w:rPr>
        <w:t>The Traditional View of Daniel’s Visions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615"/>
        <w:gridCol w:w="1620"/>
        <w:gridCol w:w="1800"/>
        <w:gridCol w:w="1800"/>
        <w:gridCol w:w="1800"/>
      </w:tblGrid>
      <w:tr w:rsidR="005F064D" w:rsidRPr="00337F4E" w14:paraId="1C0AFDE3" w14:textId="77777777" w:rsidTr="000C2759">
        <w:tc>
          <w:tcPr>
            <w:tcW w:w="1440" w:type="dxa"/>
          </w:tcPr>
          <w:p w14:paraId="174AE0B3" w14:textId="77777777" w:rsidR="005F064D" w:rsidRPr="00337F4E" w:rsidRDefault="005F064D" w:rsidP="000C2759">
            <w:pPr>
              <w:autoSpaceDE w:val="0"/>
              <w:autoSpaceDN w:val="0"/>
              <w:adjustRightInd w:val="0"/>
              <w:spacing w:before="360"/>
              <w:rPr>
                <w:rFonts w:cs="Times New Roman"/>
                <w:sz w:val="20"/>
                <w:szCs w:val="20"/>
              </w:rPr>
            </w:pPr>
          </w:p>
        </w:tc>
        <w:tc>
          <w:tcPr>
            <w:tcW w:w="1615" w:type="dxa"/>
          </w:tcPr>
          <w:p w14:paraId="2E9AE648" w14:textId="77777777" w:rsidR="005F064D" w:rsidRPr="00337F4E" w:rsidRDefault="005F064D" w:rsidP="000C2759">
            <w:pPr>
              <w:autoSpaceDE w:val="0"/>
              <w:autoSpaceDN w:val="0"/>
              <w:adjustRightInd w:val="0"/>
              <w:rPr>
                <w:rFonts w:cs="Times New Roman"/>
                <w:sz w:val="20"/>
                <w:szCs w:val="20"/>
              </w:rPr>
            </w:pPr>
            <w:r w:rsidRPr="00337F4E">
              <w:rPr>
                <w:rFonts w:cs="Times New Roman"/>
                <w:b/>
                <w:sz w:val="20"/>
                <w:szCs w:val="20"/>
              </w:rPr>
              <w:t xml:space="preserve">Babylonian Empire (625–539 </w:t>
            </w:r>
            <w:r w:rsidRPr="00337F4E">
              <w:rPr>
                <w:rFonts w:cs="Times New Roman"/>
                <w:b/>
                <w:smallCaps/>
                <w:sz w:val="20"/>
                <w:szCs w:val="20"/>
              </w:rPr>
              <w:t>b.c.</w:t>
            </w:r>
            <w:r w:rsidRPr="00337F4E">
              <w:rPr>
                <w:rFonts w:cs="Times New Roman"/>
                <w:b/>
                <w:sz w:val="20"/>
                <w:szCs w:val="20"/>
              </w:rPr>
              <w:t>)</w:t>
            </w:r>
          </w:p>
          <w:p w14:paraId="078114ED" w14:textId="77777777" w:rsidR="005F064D" w:rsidRPr="00337F4E" w:rsidRDefault="005F064D" w:rsidP="000C2759">
            <w:pPr>
              <w:autoSpaceDE w:val="0"/>
              <w:autoSpaceDN w:val="0"/>
              <w:adjustRightInd w:val="0"/>
              <w:rPr>
                <w:rFonts w:cs="Times New Roman"/>
                <w:sz w:val="20"/>
                <w:szCs w:val="20"/>
              </w:rPr>
            </w:pPr>
          </w:p>
        </w:tc>
        <w:tc>
          <w:tcPr>
            <w:tcW w:w="1620" w:type="dxa"/>
          </w:tcPr>
          <w:p w14:paraId="7E0C877C" w14:textId="77777777" w:rsidR="005F064D" w:rsidRPr="00337F4E" w:rsidRDefault="005F064D" w:rsidP="000C2759">
            <w:pPr>
              <w:autoSpaceDE w:val="0"/>
              <w:autoSpaceDN w:val="0"/>
              <w:adjustRightInd w:val="0"/>
              <w:rPr>
                <w:rFonts w:cs="Times New Roman"/>
                <w:sz w:val="20"/>
                <w:szCs w:val="20"/>
              </w:rPr>
            </w:pPr>
            <w:r w:rsidRPr="00337F4E">
              <w:rPr>
                <w:rFonts w:cs="Times New Roman"/>
                <w:b/>
                <w:sz w:val="20"/>
                <w:szCs w:val="20"/>
              </w:rPr>
              <w:t xml:space="preserve">Medo–Persian Empire (539–331 </w:t>
            </w:r>
            <w:r w:rsidRPr="00337F4E">
              <w:rPr>
                <w:rFonts w:cs="Times New Roman"/>
                <w:b/>
                <w:smallCaps/>
                <w:sz w:val="20"/>
                <w:szCs w:val="20"/>
              </w:rPr>
              <w:t>b.c.</w:t>
            </w:r>
            <w:r w:rsidRPr="00337F4E">
              <w:rPr>
                <w:rFonts w:cs="Times New Roman"/>
                <w:b/>
                <w:sz w:val="20"/>
                <w:szCs w:val="20"/>
              </w:rPr>
              <w:t>)</w:t>
            </w:r>
          </w:p>
          <w:p w14:paraId="41B69383" w14:textId="77777777" w:rsidR="005F064D" w:rsidRPr="00337F4E" w:rsidRDefault="005F064D" w:rsidP="000C2759">
            <w:pPr>
              <w:autoSpaceDE w:val="0"/>
              <w:autoSpaceDN w:val="0"/>
              <w:adjustRightInd w:val="0"/>
              <w:rPr>
                <w:rFonts w:cs="Times New Roman"/>
                <w:sz w:val="20"/>
                <w:szCs w:val="20"/>
              </w:rPr>
            </w:pPr>
          </w:p>
        </w:tc>
        <w:tc>
          <w:tcPr>
            <w:tcW w:w="1800" w:type="dxa"/>
          </w:tcPr>
          <w:p w14:paraId="1445DEFC" w14:textId="77777777" w:rsidR="005F064D" w:rsidRPr="00337F4E" w:rsidRDefault="005F064D" w:rsidP="000C2759">
            <w:pPr>
              <w:autoSpaceDE w:val="0"/>
              <w:autoSpaceDN w:val="0"/>
              <w:adjustRightInd w:val="0"/>
              <w:rPr>
                <w:rFonts w:cs="Times New Roman"/>
                <w:sz w:val="20"/>
                <w:szCs w:val="20"/>
              </w:rPr>
            </w:pPr>
            <w:r w:rsidRPr="00337F4E">
              <w:rPr>
                <w:rFonts w:cs="Times New Roman"/>
                <w:b/>
                <w:sz w:val="20"/>
                <w:szCs w:val="20"/>
              </w:rPr>
              <w:t xml:space="preserve">Greek Empire (331–63 </w:t>
            </w:r>
            <w:r w:rsidRPr="00337F4E">
              <w:rPr>
                <w:rFonts w:cs="Times New Roman"/>
                <w:b/>
                <w:smallCaps/>
                <w:sz w:val="20"/>
                <w:szCs w:val="20"/>
              </w:rPr>
              <w:t>b.c.</w:t>
            </w:r>
            <w:r w:rsidRPr="00337F4E">
              <w:rPr>
                <w:rFonts w:cs="Times New Roman"/>
                <w:b/>
                <w:sz w:val="20"/>
                <w:szCs w:val="20"/>
              </w:rPr>
              <w:t>)</w:t>
            </w:r>
          </w:p>
          <w:p w14:paraId="57882D95" w14:textId="77777777" w:rsidR="005F064D" w:rsidRPr="00337F4E" w:rsidRDefault="005F064D" w:rsidP="000C2759">
            <w:pPr>
              <w:autoSpaceDE w:val="0"/>
              <w:autoSpaceDN w:val="0"/>
              <w:adjustRightInd w:val="0"/>
              <w:rPr>
                <w:rFonts w:cs="Times New Roman"/>
                <w:sz w:val="20"/>
                <w:szCs w:val="20"/>
              </w:rPr>
            </w:pPr>
          </w:p>
        </w:tc>
        <w:tc>
          <w:tcPr>
            <w:tcW w:w="1800" w:type="dxa"/>
          </w:tcPr>
          <w:p w14:paraId="1E498446" w14:textId="77777777" w:rsidR="005F064D" w:rsidRPr="00337F4E" w:rsidRDefault="005F064D" w:rsidP="000C2759">
            <w:pPr>
              <w:autoSpaceDE w:val="0"/>
              <w:autoSpaceDN w:val="0"/>
              <w:adjustRightInd w:val="0"/>
              <w:rPr>
                <w:rFonts w:cs="Times New Roman"/>
                <w:sz w:val="20"/>
                <w:szCs w:val="20"/>
              </w:rPr>
            </w:pPr>
            <w:r w:rsidRPr="00337F4E">
              <w:rPr>
                <w:rFonts w:cs="Times New Roman"/>
                <w:b/>
                <w:sz w:val="20"/>
                <w:szCs w:val="20"/>
              </w:rPr>
              <w:t xml:space="preserve">Roman Empire (63 </w:t>
            </w:r>
            <w:r w:rsidRPr="00337F4E">
              <w:rPr>
                <w:rFonts w:cs="Times New Roman"/>
                <w:b/>
                <w:smallCaps/>
                <w:sz w:val="20"/>
                <w:szCs w:val="20"/>
              </w:rPr>
              <w:t>b.c.</w:t>
            </w:r>
            <w:r w:rsidRPr="00337F4E">
              <w:rPr>
                <w:rFonts w:cs="Times New Roman"/>
                <w:b/>
                <w:sz w:val="20"/>
                <w:szCs w:val="20"/>
              </w:rPr>
              <w:t>–</w:t>
            </w:r>
            <w:r w:rsidRPr="00337F4E">
              <w:rPr>
                <w:rFonts w:cs="Times New Roman"/>
                <w:b/>
                <w:smallCaps/>
                <w:sz w:val="20"/>
                <w:szCs w:val="20"/>
              </w:rPr>
              <w:t>a.d.</w:t>
            </w:r>
            <w:r w:rsidRPr="00337F4E">
              <w:rPr>
                <w:rFonts w:cs="Times New Roman"/>
                <w:b/>
                <w:sz w:val="20"/>
                <w:szCs w:val="20"/>
              </w:rPr>
              <w:t xml:space="preserve"> 476)</w:t>
            </w:r>
          </w:p>
          <w:p w14:paraId="05642E6D" w14:textId="77777777" w:rsidR="005F064D" w:rsidRPr="00337F4E" w:rsidRDefault="005F064D" w:rsidP="000C2759">
            <w:pPr>
              <w:autoSpaceDE w:val="0"/>
              <w:autoSpaceDN w:val="0"/>
              <w:adjustRightInd w:val="0"/>
              <w:rPr>
                <w:rFonts w:cs="Times New Roman"/>
                <w:sz w:val="20"/>
                <w:szCs w:val="20"/>
              </w:rPr>
            </w:pPr>
          </w:p>
        </w:tc>
        <w:tc>
          <w:tcPr>
            <w:tcW w:w="1800" w:type="dxa"/>
          </w:tcPr>
          <w:p w14:paraId="6F55B987" w14:textId="77777777" w:rsidR="005F064D" w:rsidRPr="00337F4E" w:rsidRDefault="005F064D" w:rsidP="000C2759">
            <w:pPr>
              <w:autoSpaceDE w:val="0"/>
              <w:autoSpaceDN w:val="0"/>
              <w:adjustRightInd w:val="0"/>
              <w:rPr>
                <w:rFonts w:cs="Times New Roman"/>
                <w:sz w:val="20"/>
                <w:szCs w:val="20"/>
              </w:rPr>
            </w:pPr>
            <w:r w:rsidRPr="00337F4E">
              <w:rPr>
                <w:rFonts w:cs="Times New Roman"/>
                <w:b/>
                <w:sz w:val="20"/>
                <w:szCs w:val="20"/>
              </w:rPr>
              <w:t>Future Events</w:t>
            </w:r>
          </w:p>
          <w:p w14:paraId="46BB5725" w14:textId="77777777" w:rsidR="005F064D" w:rsidRPr="00337F4E" w:rsidRDefault="005F064D" w:rsidP="000C2759">
            <w:pPr>
              <w:autoSpaceDE w:val="0"/>
              <w:autoSpaceDN w:val="0"/>
              <w:adjustRightInd w:val="0"/>
              <w:rPr>
                <w:rFonts w:cs="Times New Roman"/>
                <w:sz w:val="20"/>
                <w:szCs w:val="20"/>
              </w:rPr>
            </w:pPr>
          </w:p>
        </w:tc>
      </w:tr>
      <w:tr w:rsidR="005F064D" w:rsidRPr="00337F4E" w14:paraId="78121987" w14:textId="77777777" w:rsidTr="000C2759">
        <w:tc>
          <w:tcPr>
            <w:tcW w:w="1440" w:type="dxa"/>
          </w:tcPr>
          <w:p w14:paraId="6CBA9FF7" w14:textId="77777777" w:rsidR="005F064D" w:rsidRPr="00337F4E" w:rsidRDefault="005F064D" w:rsidP="000C2759">
            <w:pPr>
              <w:autoSpaceDE w:val="0"/>
              <w:autoSpaceDN w:val="0"/>
              <w:adjustRightInd w:val="0"/>
              <w:rPr>
                <w:rFonts w:cs="Times New Roman"/>
                <w:sz w:val="20"/>
                <w:szCs w:val="20"/>
              </w:rPr>
            </w:pPr>
            <w:r w:rsidRPr="00337F4E">
              <w:rPr>
                <w:rFonts w:cs="Times New Roman"/>
                <w:b/>
                <w:sz w:val="20"/>
                <w:szCs w:val="20"/>
              </w:rPr>
              <w:t>Vision of Statue (ch. 2)</w:t>
            </w:r>
          </w:p>
          <w:p w14:paraId="4E97B0E7" w14:textId="77777777" w:rsidR="005F064D" w:rsidRPr="00337F4E" w:rsidRDefault="005F064D" w:rsidP="000C2759">
            <w:pPr>
              <w:autoSpaceDE w:val="0"/>
              <w:autoSpaceDN w:val="0"/>
              <w:adjustRightInd w:val="0"/>
              <w:rPr>
                <w:rFonts w:cs="Times New Roman"/>
                <w:sz w:val="20"/>
                <w:szCs w:val="20"/>
              </w:rPr>
            </w:pPr>
          </w:p>
        </w:tc>
        <w:tc>
          <w:tcPr>
            <w:tcW w:w="1615" w:type="dxa"/>
          </w:tcPr>
          <w:p w14:paraId="2C6A7698" w14:textId="77777777" w:rsidR="005F064D" w:rsidRPr="00337F4E" w:rsidRDefault="005F064D" w:rsidP="000C2759">
            <w:pPr>
              <w:autoSpaceDE w:val="0"/>
              <w:autoSpaceDN w:val="0"/>
              <w:adjustRightInd w:val="0"/>
              <w:rPr>
                <w:rFonts w:cs="Times New Roman"/>
                <w:sz w:val="20"/>
                <w:szCs w:val="20"/>
              </w:rPr>
            </w:pPr>
            <w:r w:rsidRPr="00337F4E">
              <w:rPr>
                <w:rFonts w:cs="Times New Roman"/>
                <w:sz w:val="20"/>
                <w:szCs w:val="20"/>
              </w:rPr>
              <w:t>head of gold (vv. 36–38)</w:t>
            </w:r>
          </w:p>
          <w:p w14:paraId="0B54758C" w14:textId="77777777" w:rsidR="005F064D" w:rsidRPr="00337F4E" w:rsidRDefault="005F064D" w:rsidP="000C2759">
            <w:pPr>
              <w:autoSpaceDE w:val="0"/>
              <w:autoSpaceDN w:val="0"/>
              <w:adjustRightInd w:val="0"/>
              <w:rPr>
                <w:rFonts w:cs="Times New Roman"/>
                <w:sz w:val="20"/>
                <w:szCs w:val="20"/>
              </w:rPr>
            </w:pPr>
          </w:p>
        </w:tc>
        <w:tc>
          <w:tcPr>
            <w:tcW w:w="1620" w:type="dxa"/>
          </w:tcPr>
          <w:p w14:paraId="422E248C" w14:textId="77777777" w:rsidR="005F064D" w:rsidRPr="00337F4E" w:rsidRDefault="005F064D" w:rsidP="000C2759">
            <w:pPr>
              <w:autoSpaceDE w:val="0"/>
              <w:autoSpaceDN w:val="0"/>
              <w:adjustRightInd w:val="0"/>
              <w:rPr>
                <w:rFonts w:cs="Times New Roman"/>
                <w:sz w:val="20"/>
                <w:szCs w:val="20"/>
              </w:rPr>
            </w:pPr>
            <w:r w:rsidRPr="00337F4E">
              <w:rPr>
                <w:rFonts w:cs="Times New Roman"/>
                <w:sz w:val="20"/>
                <w:szCs w:val="20"/>
              </w:rPr>
              <w:t>chest and arms of silver (vv. 32, 39)</w:t>
            </w:r>
          </w:p>
          <w:p w14:paraId="7F3CDA89" w14:textId="77777777" w:rsidR="005F064D" w:rsidRPr="00337F4E" w:rsidRDefault="005F064D" w:rsidP="000C2759">
            <w:pPr>
              <w:autoSpaceDE w:val="0"/>
              <w:autoSpaceDN w:val="0"/>
              <w:adjustRightInd w:val="0"/>
              <w:rPr>
                <w:rFonts w:cs="Times New Roman"/>
                <w:sz w:val="20"/>
                <w:szCs w:val="20"/>
              </w:rPr>
            </w:pPr>
          </w:p>
        </w:tc>
        <w:tc>
          <w:tcPr>
            <w:tcW w:w="1800" w:type="dxa"/>
          </w:tcPr>
          <w:p w14:paraId="5C98A524" w14:textId="77777777" w:rsidR="005F064D" w:rsidRPr="00337F4E" w:rsidRDefault="005F064D" w:rsidP="000C2759">
            <w:pPr>
              <w:autoSpaceDE w:val="0"/>
              <w:autoSpaceDN w:val="0"/>
              <w:adjustRightInd w:val="0"/>
              <w:rPr>
                <w:rFonts w:cs="Times New Roman"/>
                <w:sz w:val="20"/>
                <w:szCs w:val="20"/>
              </w:rPr>
            </w:pPr>
            <w:r w:rsidRPr="00337F4E">
              <w:rPr>
                <w:rFonts w:cs="Times New Roman"/>
                <w:sz w:val="20"/>
                <w:szCs w:val="20"/>
              </w:rPr>
              <w:t>middle and thighs of bronze (vv. 32, 39)</w:t>
            </w:r>
          </w:p>
          <w:p w14:paraId="67043B28" w14:textId="77777777" w:rsidR="005F064D" w:rsidRPr="00337F4E" w:rsidRDefault="005F064D" w:rsidP="000C2759">
            <w:pPr>
              <w:autoSpaceDE w:val="0"/>
              <w:autoSpaceDN w:val="0"/>
              <w:adjustRightInd w:val="0"/>
              <w:rPr>
                <w:rFonts w:cs="Times New Roman"/>
                <w:sz w:val="20"/>
                <w:szCs w:val="20"/>
              </w:rPr>
            </w:pPr>
          </w:p>
        </w:tc>
        <w:tc>
          <w:tcPr>
            <w:tcW w:w="1800" w:type="dxa"/>
          </w:tcPr>
          <w:p w14:paraId="285E48A5" w14:textId="77777777" w:rsidR="005F064D" w:rsidRPr="00337F4E" w:rsidRDefault="005F064D" w:rsidP="000C2759">
            <w:pPr>
              <w:autoSpaceDE w:val="0"/>
              <w:autoSpaceDN w:val="0"/>
              <w:adjustRightInd w:val="0"/>
              <w:rPr>
                <w:rFonts w:cs="Times New Roman"/>
                <w:sz w:val="20"/>
                <w:szCs w:val="20"/>
              </w:rPr>
            </w:pPr>
            <w:r w:rsidRPr="00337F4E">
              <w:rPr>
                <w:rFonts w:cs="Times New Roman"/>
                <w:sz w:val="20"/>
                <w:szCs w:val="20"/>
              </w:rPr>
              <w:t>legs of iron; feet of iron and clay (vv. 33, 40–43)</w:t>
            </w:r>
          </w:p>
          <w:p w14:paraId="4415B6FC" w14:textId="77777777" w:rsidR="005F064D" w:rsidRPr="00337F4E" w:rsidRDefault="005F064D" w:rsidP="000C2759">
            <w:pPr>
              <w:autoSpaceDE w:val="0"/>
              <w:autoSpaceDN w:val="0"/>
              <w:adjustRightInd w:val="0"/>
              <w:rPr>
                <w:rFonts w:cs="Times New Roman"/>
                <w:sz w:val="20"/>
                <w:szCs w:val="20"/>
              </w:rPr>
            </w:pPr>
          </w:p>
        </w:tc>
        <w:tc>
          <w:tcPr>
            <w:tcW w:w="1800" w:type="dxa"/>
          </w:tcPr>
          <w:p w14:paraId="1019C19C" w14:textId="77777777" w:rsidR="005F064D" w:rsidRPr="00337F4E" w:rsidRDefault="005F064D" w:rsidP="000C2759">
            <w:pPr>
              <w:autoSpaceDE w:val="0"/>
              <w:autoSpaceDN w:val="0"/>
              <w:adjustRightInd w:val="0"/>
              <w:jc w:val="both"/>
              <w:rPr>
                <w:rFonts w:cs="Times New Roman"/>
                <w:sz w:val="20"/>
                <w:szCs w:val="20"/>
              </w:rPr>
            </w:pPr>
            <w:r w:rsidRPr="00337F4E">
              <w:rPr>
                <w:rFonts w:cs="Times New Roman"/>
                <w:i/>
                <w:sz w:val="20"/>
                <w:szCs w:val="20"/>
              </w:rPr>
              <w:t>messianic kingdom</w:t>
            </w:r>
            <w:r w:rsidRPr="00337F4E">
              <w:rPr>
                <w:rFonts w:cs="Times New Roman"/>
                <w:sz w:val="20"/>
                <w:szCs w:val="20"/>
              </w:rPr>
              <w:t xml:space="preserve"> stone (vv. 44–45)</w:t>
            </w:r>
          </w:p>
          <w:p w14:paraId="47252BE7" w14:textId="77777777" w:rsidR="005F064D" w:rsidRPr="00337F4E" w:rsidRDefault="005F064D" w:rsidP="000C2759">
            <w:pPr>
              <w:autoSpaceDE w:val="0"/>
              <w:autoSpaceDN w:val="0"/>
              <w:adjustRightInd w:val="0"/>
              <w:jc w:val="both"/>
              <w:rPr>
                <w:rFonts w:cs="Times New Roman"/>
                <w:sz w:val="20"/>
                <w:szCs w:val="20"/>
              </w:rPr>
            </w:pPr>
          </w:p>
        </w:tc>
      </w:tr>
      <w:tr w:rsidR="005F064D" w:rsidRPr="00337F4E" w14:paraId="47935436" w14:textId="77777777" w:rsidTr="000C2759">
        <w:tc>
          <w:tcPr>
            <w:tcW w:w="1440" w:type="dxa"/>
          </w:tcPr>
          <w:p w14:paraId="696A3D5C" w14:textId="77777777" w:rsidR="005F064D" w:rsidRPr="00337F4E" w:rsidRDefault="005F064D" w:rsidP="000C2759">
            <w:pPr>
              <w:autoSpaceDE w:val="0"/>
              <w:autoSpaceDN w:val="0"/>
              <w:adjustRightInd w:val="0"/>
              <w:rPr>
                <w:rFonts w:cs="Times New Roman"/>
                <w:sz w:val="20"/>
                <w:szCs w:val="20"/>
              </w:rPr>
            </w:pPr>
            <w:r w:rsidRPr="00337F4E">
              <w:rPr>
                <w:rFonts w:cs="Times New Roman"/>
                <w:b/>
                <w:sz w:val="20"/>
                <w:szCs w:val="20"/>
              </w:rPr>
              <w:t>Vision of Tree (ch. 4)</w:t>
            </w:r>
          </w:p>
          <w:p w14:paraId="2BC0F33A" w14:textId="77777777" w:rsidR="005F064D" w:rsidRPr="00337F4E" w:rsidRDefault="005F064D" w:rsidP="000C2759">
            <w:pPr>
              <w:autoSpaceDE w:val="0"/>
              <w:autoSpaceDN w:val="0"/>
              <w:adjustRightInd w:val="0"/>
              <w:rPr>
                <w:rFonts w:cs="Times New Roman"/>
                <w:sz w:val="20"/>
                <w:szCs w:val="20"/>
              </w:rPr>
            </w:pPr>
          </w:p>
        </w:tc>
        <w:tc>
          <w:tcPr>
            <w:tcW w:w="1615" w:type="dxa"/>
          </w:tcPr>
          <w:p w14:paraId="243FB4C4" w14:textId="77777777" w:rsidR="005F064D" w:rsidRPr="00337F4E" w:rsidRDefault="005F064D" w:rsidP="000C2759">
            <w:pPr>
              <w:autoSpaceDE w:val="0"/>
              <w:autoSpaceDN w:val="0"/>
              <w:adjustRightInd w:val="0"/>
              <w:rPr>
                <w:rFonts w:cs="Times New Roman"/>
                <w:sz w:val="20"/>
                <w:szCs w:val="20"/>
              </w:rPr>
            </w:pPr>
            <w:r w:rsidRPr="00337F4E">
              <w:rPr>
                <w:rFonts w:cs="Times New Roman"/>
                <w:sz w:val="20"/>
                <w:szCs w:val="20"/>
              </w:rPr>
              <w:t>Nebuchadnezzar humbled (vv. 19–37)</w:t>
            </w:r>
          </w:p>
          <w:p w14:paraId="3B067BA0" w14:textId="77777777" w:rsidR="005F064D" w:rsidRPr="00337F4E" w:rsidRDefault="005F064D" w:rsidP="000C2759">
            <w:pPr>
              <w:autoSpaceDE w:val="0"/>
              <w:autoSpaceDN w:val="0"/>
              <w:adjustRightInd w:val="0"/>
              <w:rPr>
                <w:rFonts w:cs="Times New Roman"/>
                <w:sz w:val="20"/>
                <w:szCs w:val="20"/>
              </w:rPr>
            </w:pPr>
          </w:p>
        </w:tc>
        <w:tc>
          <w:tcPr>
            <w:tcW w:w="1620" w:type="dxa"/>
          </w:tcPr>
          <w:p w14:paraId="02C17A5A" w14:textId="77777777" w:rsidR="005F064D" w:rsidRPr="00337F4E" w:rsidRDefault="005F064D" w:rsidP="000C2759">
            <w:pPr>
              <w:autoSpaceDE w:val="0"/>
              <w:autoSpaceDN w:val="0"/>
              <w:adjustRightInd w:val="0"/>
              <w:rPr>
                <w:rFonts w:cs="Times New Roman"/>
                <w:sz w:val="20"/>
                <w:szCs w:val="20"/>
              </w:rPr>
            </w:pPr>
          </w:p>
        </w:tc>
        <w:tc>
          <w:tcPr>
            <w:tcW w:w="1800" w:type="dxa"/>
          </w:tcPr>
          <w:p w14:paraId="537F7E46" w14:textId="77777777" w:rsidR="005F064D" w:rsidRPr="00337F4E" w:rsidRDefault="005F064D" w:rsidP="000C2759">
            <w:pPr>
              <w:autoSpaceDE w:val="0"/>
              <w:autoSpaceDN w:val="0"/>
              <w:adjustRightInd w:val="0"/>
              <w:rPr>
                <w:rFonts w:cs="Times New Roman"/>
                <w:sz w:val="20"/>
                <w:szCs w:val="20"/>
              </w:rPr>
            </w:pPr>
          </w:p>
        </w:tc>
        <w:tc>
          <w:tcPr>
            <w:tcW w:w="1800" w:type="dxa"/>
          </w:tcPr>
          <w:p w14:paraId="5D1C2A62" w14:textId="77777777" w:rsidR="005F064D" w:rsidRPr="00337F4E" w:rsidRDefault="005F064D" w:rsidP="000C2759">
            <w:pPr>
              <w:autoSpaceDE w:val="0"/>
              <w:autoSpaceDN w:val="0"/>
              <w:adjustRightInd w:val="0"/>
              <w:rPr>
                <w:rFonts w:cs="Times New Roman"/>
                <w:sz w:val="20"/>
                <w:szCs w:val="20"/>
              </w:rPr>
            </w:pPr>
          </w:p>
        </w:tc>
        <w:tc>
          <w:tcPr>
            <w:tcW w:w="1800" w:type="dxa"/>
          </w:tcPr>
          <w:p w14:paraId="1C92D21D" w14:textId="77777777" w:rsidR="005F064D" w:rsidRPr="00337F4E" w:rsidRDefault="005F064D" w:rsidP="000C2759">
            <w:pPr>
              <w:autoSpaceDE w:val="0"/>
              <w:autoSpaceDN w:val="0"/>
              <w:adjustRightInd w:val="0"/>
              <w:jc w:val="both"/>
              <w:rPr>
                <w:rFonts w:cs="Times New Roman"/>
                <w:sz w:val="20"/>
                <w:szCs w:val="20"/>
              </w:rPr>
            </w:pPr>
          </w:p>
        </w:tc>
      </w:tr>
      <w:tr w:rsidR="00887CA6" w:rsidRPr="00337F4E" w14:paraId="7AB498EB" w14:textId="77777777" w:rsidTr="000C2759">
        <w:tc>
          <w:tcPr>
            <w:tcW w:w="1440" w:type="dxa"/>
          </w:tcPr>
          <w:p w14:paraId="2C7C6775" w14:textId="77777777" w:rsidR="00887CA6" w:rsidRPr="00337F4E" w:rsidRDefault="00887CA6" w:rsidP="000C2759">
            <w:pPr>
              <w:autoSpaceDE w:val="0"/>
              <w:autoSpaceDN w:val="0"/>
              <w:adjustRightInd w:val="0"/>
              <w:rPr>
                <w:rFonts w:cs="Times New Roman"/>
                <w:b/>
                <w:sz w:val="20"/>
                <w:szCs w:val="20"/>
              </w:rPr>
            </w:pPr>
          </w:p>
        </w:tc>
        <w:tc>
          <w:tcPr>
            <w:tcW w:w="1615" w:type="dxa"/>
          </w:tcPr>
          <w:p w14:paraId="3B99B8F7" w14:textId="77777777" w:rsidR="00887CA6" w:rsidRPr="00337F4E" w:rsidRDefault="00887CA6" w:rsidP="000C2759">
            <w:pPr>
              <w:autoSpaceDE w:val="0"/>
              <w:autoSpaceDN w:val="0"/>
              <w:adjustRightInd w:val="0"/>
              <w:rPr>
                <w:rFonts w:cs="Times New Roman"/>
                <w:sz w:val="20"/>
                <w:szCs w:val="20"/>
              </w:rPr>
            </w:pPr>
          </w:p>
        </w:tc>
        <w:tc>
          <w:tcPr>
            <w:tcW w:w="1620" w:type="dxa"/>
          </w:tcPr>
          <w:p w14:paraId="13599DD2" w14:textId="77777777" w:rsidR="00887CA6" w:rsidRPr="00337F4E" w:rsidRDefault="00887CA6" w:rsidP="000C2759">
            <w:pPr>
              <w:autoSpaceDE w:val="0"/>
              <w:autoSpaceDN w:val="0"/>
              <w:adjustRightInd w:val="0"/>
              <w:rPr>
                <w:rFonts w:cs="Times New Roman"/>
                <w:sz w:val="20"/>
                <w:szCs w:val="20"/>
              </w:rPr>
            </w:pPr>
          </w:p>
        </w:tc>
        <w:tc>
          <w:tcPr>
            <w:tcW w:w="1800" w:type="dxa"/>
          </w:tcPr>
          <w:p w14:paraId="70083CB4" w14:textId="77777777" w:rsidR="00887CA6" w:rsidRPr="00337F4E" w:rsidRDefault="00887CA6" w:rsidP="000C2759">
            <w:pPr>
              <w:autoSpaceDE w:val="0"/>
              <w:autoSpaceDN w:val="0"/>
              <w:adjustRightInd w:val="0"/>
              <w:rPr>
                <w:rFonts w:cs="Times New Roman"/>
                <w:sz w:val="20"/>
                <w:szCs w:val="20"/>
              </w:rPr>
            </w:pPr>
          </w:p>
        </w:tc>
        <w:tc>
          <w:tcPr>
            <w:tcW w:w="1800" w:type="dxa"/>
          </w:tcPr>
          <w:p w14:paraId="070DC72C" w14:textId="77777777" w:rsidR="00887CA6" w:rsidRPr="00337F4E" w:rsidRDefault="00887CA6" w:rsidP="000C2759">
            <w:pPr>
              <w:autoSpaceDE w:val="0"/>
              <w:autoSpaceDN w:val="0"/>
              <w:adjustRightInd w:val="0"/>
              <w:rPr>
                <w:rFonts w:cs="Times New Roman"/>
                <w:sz w:val="20"/>
                <w:szCs w:val="20"/>
              </w:rPr>
            </w:pPr>
          </w:p>
        </w:tc>
        <w:tc>
          <w:tcPr>
            <w:tcW w:w="1800" w:type="dxa"/>
          </w:tcPr>
          <w:p w14:paraId="369E872D" w14:textId="77777777" w:rsidR="00887CA6" w:rsidRPr="00337F4E" w:rsidRDefault="00887CA6" w:rsidP="000C2759">
            <w:pPr>
              <w:autoSpaceDE w:val="0"/>
              <w:autoSpaceDN w:val="0"/>
              <w:adjustRightInd w:val="0"/>
              <w:jc w:val="both"/>
              <w:rPr>
                <w:rFonts w:cs="Times New Roman"/>
                <w:sz w:val="20"/>
                <w:szCs w:val="20"/>
              </w:rPr>
            </w:pPr>
          </w:p>
        </w:tc>
      </w:tr>
    </w:tbl>
    <w:p w14:paraId="6121E7A5" w14:textId="77777777" w:rsidR="00887CA6" w:rsidRDefault="00887CA6" w:rsidP="005F064D">
      <w:pPr>
        <w:autoSpaceDE w:val="0"/>
        <w:autoSpaceDN w:val="0"/>
        <w:adjustRightInd w:val="0"/>
        <w:spacing w:before="360"/>
        <w:rPr>
          <w:rFonts w:cs="Times New Roman"/>
          <w:b/>
          <w:bCs/>
          <w:sz w:val="22"/>
          <w:szCs w:val="22"/>
        </w:rPr>
      </w:pPr>
    </w:p>
    <w:p w14:paraId="7A1285DD" w14:textId="334109CE" w:rsidR="005F064D" w:rsidRPr="00FF1301" w:rsidRDefault="005F064D" w:rsidP="005F064D">
      <w:pPr>
        <w:autoSpaceDE w:val="0"/>
        <w:autoSpaceDN w:val="0"/>
        <w:adjustRightInd w:val="0"/>
        <w:spacing w:before="360"/>
        <w:rPr>
          <w:rFonts w:cs="Times New Roman"/>
        </w:rPr>
      </w:pPr>
      <w:r w:rsidRPr="00FF1301">
        <w:rPr>
          <w:rFonts w:cs="Times New Roman"/>
          <w:b/>
          <w:bCs/>
          <w:sz w:val="22"/>
          <w:szCs w:val="22"/>
        </w:rPr>
        <w:t>Rulers During the Time of Daniel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0"/>
        <w:gridCol w:w="2880"/>
        <w:gridCol w:w="2880"/>
      </w:tblGrid>
      <w:tr w:rsidR="005F064D" w:rsidRPr="006A171E" w14:paraId="06021C26" w14:textId="77777777" w:rsidTr="000C2759">
        <w:tc>
          <w:tcPr>
            <w:tcW w:w="2880" w:type="dxa"/>
            <w:vMerge w:val="restart"/>
          </w:tcPr>
          <w:p w14:paraId="33A65EDB" w14:textId="77777777" w:rsidR="005F064D" w:rsidRPr="006A171E" w:rsidRDefault="005F064D" w:rsidP="000C2759">
            <w:pPr>
              <w:autoSpaceDE w:val="0"/>
              <w:autoSpaceDN w:val="0"/>
              <w:adjustRightInd w:val="0"/>
              <w:rPr>
                <w:rFonts w:cs="Times New Roman"/>
              </w:rPr>
            </w:pPr>
            <w:r w:rsidRPr="006A171E">
              <w:rPr>
                <w:rFonts w:cs="Times New Roman"/>
                <w:b/>
              </w:rPr>
              <w:t>Babylon</w:t>
            </w:r>
          </w:p>
          <w:p w14:paraId="1091BCDF" w14:textId="77777777" w:rsidR="005F064D" w:rsidRPr="006A171E" w:rsidRDefault="005F064D" w:rsidP="000C2759">
            <w:pPr>
              <w:autoSpaceDE w:val="0"/>
              <w:autoSpaceDN w:val="0"/>
              <w:adjustRightInd w:val="0"/>
              <w:rPr>
                <w:rFonts w:cs="Times New Roman"/>
              </w:rPr>
            </w:pPr>
          </w:p>
        </w:tc>
        <w:tc>
          <w:tcPr>
            <w:tcW w:w="2880" w:type="dxa"/>
          </w:tcPr>
          <w:p w14:paraId="42076B29" w14:textId="77777777" w:rsidR="005F064D" w:rsidRPr="006A171E" w:rsidRDefault="005F064D" w:rsidP="000C2759">
            <w:pPr>
              <w:autoSpaceDE w:val="0"/>
              <w:autoSpaceDN w:val="0"/>
              <w:adjustRightInd w:val="0"/>
              <w:jc w:val="both"/>
              <w:rPr>
                <w:rFonts w:cs="Times New Roman"/>
              </w:rPr>
            </w:pPr>
            <w:r w:rsidRPr="006A171E">
              <w:rPr>
                <w:rFonts w:cs="Times New Roman"/>
              </w:rPr>
              <w:t>Nebuchadnezzar</w:t>
            </w:r>
          </w:p>
          <w:p w14:paraId="31A6EDEB" w14:textId="77777777" w:rsidR="005F064D" w:rsidRPr="006A171E" w:rsidRDefault="005F064D" w:rsidP="000C2759">
            <w:pPr>
              <w:autoSpaceDE w:val="0"/>
              <w:autoSpaceDN w:val="0"/>
              <w:adjustRightInd w:val="0"/>
              <w:jc w:val="both"/>
              <w:rPr>
                <w:rFonts w:cs="Times New Roman"/>
              </w:rPr>
            </w:pPr>
          </w:p>
        </w:tc>
        <w:tc>
          <w:tcPr>
            <w:tcW w:w="2880" w:type="dxa"/>
          </w:tcPr>
          <w:p w14:paraId="6C022B08" w14:textId="77777777" w:rsidR="005F064D" w:rsidRPr="006A171E" w:rsidRDefault="005F064D" w:rsidP="000C2759">
            <w:pPr>
              <w:autoSpaceDE w:val="0"/>
              <w:autoSpaceDN w:val="0"/>
              <w:adjustRightInd w:val="0"/>
              <w:jc w:val="both"/>
              <w:rPr>
                <w:rFonts w:cs="Times New Roman"/>
              </w:rPr>
            </w:pPr>
            <w:r w:rsidRPr="006A171E">
              <w:rPr>
                <w:rFonts w:cs="Times New Roman"/>
              </w:rPr>
              <w:t xml:space="preserve">605–562 </w:t>
            </w:r>
            <w:r w:rsidRPr="006A171E">
              <w:rPr>
                <w:rFonts w:cs="Times New Roman"/>
                <w:smallCaps/>
              </w:rPr>
              <w:t>b.c.</w:t>
            </w:r>
          </w:p>
          <w:p w14:paraId="2A39C9DE" w14:textId="77777777" w:rsidR="005F064D" w:rsidRPr="006A171E" w:rsidRDefault="005F064D" w:rsidP="000C2759">
            <w:pPr>
              <w:autoSpaceDE w:val="0"/>
              <w:autoSpaceDN w:val="0"/>
              <w:adjustRightInd w:val="0"/>
              <w:jc w:val="both"/>
              <w:rPr>
                <w:rFonts w:cs="Times New Roman"/>
              </w:rPr>
            </w:pPr>
          </w:p>
        </w:tc>
      </w:tr>
      <w:tr w:rsidR="005F064D" w:rsidRPr="006A171E" w14:paraId="6CE0602F" w14:textId="77777777" w:rsidTr="000C2759">
        <w:tc>
          <w:tcPr>
            <w:tcW w:w="2880" w:type="dxa"/>
            <w:vMerge/>
          </w:tcPr>
          <w:p w14:paraId="19FE90C2" w14:textId="77777777" w:rsidR="005F064D" w:rsidRPr="006A171E" w:rsidRDefault="005F064D" w:rsidP="000C2759">
            <w:pPr>
              <w:autoSpaceDE w:val="0"/>
              <w:autoSpaceDN w:val="0"/>
              <w:adjustRightInd w:val="0"/>
              <w:jc w:val="both"/>
              <w:rPr>
                <w:rFonts w:cs="Times New Roman"/>
              </w:rPr>
            </w:pPr>
          </w:p>
        </w:tc>
        <w:tc>
          <w:tcPr>
            <w:tcW w:w="2880" w:type="dxa"/>
          </w:tcPr>
          <w:p w14:paraId="560429BB" w14:textId="77777777" w:rsidR="005F064D" w:rsidRPr="006A171E" w:rsidRDefault="005F064D" w:rsidP="000C2759">
            <w:pPr>
              <w:autoSpaceDE w:val="0"/>
              <w:autoSpaceDN w:val="0"/>
              <w:adjustRightInd w:val="0"/>
              <w:jc w:val="both"/>
              <w:rPr>
                <w:rFonts w:cs="Times New Roman"/>
              </w:rPr>
            </w:pPr>
            <w:r w:rsidRPr="006A171E">
              <w:rPr>
                <w:rFonts w:cs="Times New Roman"/>
              </w:rPr>
              <w:t>Nabonidus</w:t>
            </w:r>
          </w:p>
          <w:p w14:paraId="78C1E12B" w14:textId="77777777" w:rsidR="005F064D" w:rsidRPr="006A171E" w:rsidRDefault="005F064D" w:rsidP="000C2759">
            <w:pPr>
              <w:autoSpaceDE w:val="0"/>
              <w:autoSpaceDN w:val="0"/>
              <w:adjustRightInd w:val="0"/>
              <w:jc w:val="both"/>
              <w:rPr>
                <w:rFonts w:cs="Times New Roman"/>
              </w:rPr>
            </w:pPr>
          </w:p>
        </w:tc>
        <w:tc>
          <w:tcPr>
            <w:tcW w:w="2880" w:type="dxa"/>
          </w:tcPr>
          <w:p w14:paraId="40E82096" w14:textId="77777777" w:rsidR="005F064D" w:rsidRPr="006A171E" w:rsidRDefault="005F064D" w:rsidP="000C2759">
            <w:pPr>
              <w:autoSpaceDE w:val="0"/>
              <w:autoSpaceDN w:val="0"/>
              <w:adjustRightInd w:val="0"/>
              <w:jc w:val="both"/>
              <w:rPr>
                <w:rFonts w:cs="Times New Roman"/>
              </w:rPr>
            </w:pPr>
            <w:r w:rsidRPr="006A171E">
              <w:rPr>
                <w:rFonts w:cs="Times New Roman"/>
              </w:rPr>
              <w:t>556–539</w:t>
            </w:r>
          </w:p>
          <w:p w14:paraId="2436FEF9" w14:textId="77777777" w:rsidR="005F064D" w:rsidRPr="006A171E" w:rsidRDefault="005F064D" w:rsidP="000C2759">
            <w:pPr>
              <w:autoSpaceDE w:val="0"/>
              <w:autoSpaceDN w:val="0"/>
              <w:adjustRightInd w:val="0"/>
              <w:jc w:val="both"/>
              <w:rPr>
                <w:rFonts w:cs="Times New Roman"/>
              </w:rPr>
            </w:pPr>
          </w:p>
        </w:tc>
      </w:tr>
      <w:tr w:rsidR="005F064D" w:rsidRPr="006A171E" w14:paraId="3BF7861B" w14:textId="77777777" w:rsidTr="000C2759">
        <w:tc>
          <w:tcPr>
            <w:tcW w:w="2880" w:type="dxa"/>
            <w:vMerge/>
          </w:tcPr>
          <w:p w14:paraId="76D6E115" w14:textId="77777777" w:rsidR="005F064D" w:rsidRPr="006A171E" w:rsidRDefault="005F064D" w:rsidP="000C2759">
            <w:pPr>
              <w:autoSpaceDE w:val="0"/>
              <w:autoSpaceDN w:val="0"/>
              <w:adjustRightInd w:val="0"/>
              <w:jc w:val="both"/>
              <w:rPr>
                <w:rFonts w:cs="Times New Roman"/>
              </w:rPr>
            </w:pPr>
          </w:p>
        </w:tc>
        <w:tc>
          <w:tcPr>
            <w:tcW w:w="2880" w:type="dxa"/>
          </w:tcPr>
          <w:p w14:paraId="2C85E621" w14:textId="77777777" w:rsidR="005F064D" w:rsidRPr="006A171E" w:rsidRDefault="005F064D" w:rsidP="000C2759">
            <w:pPr>
              <w:autoSpaceDE w:val="0"/>
              <w:autoSpaceDN w:val="0"/>
              <w:adjustRightInd w:val="0"/>
              <w:jc w:val="both"/>
              <w:rPr>
                <w:rFonts w:cs="Times New Roman"/>
              </w:rPr>
            </w:pPr>
            <w:r w:rsidRPr="006A171E">
              <w:rPr>
                <w:rFonts w:cs="Times New Roman"/>
              </w:rPr>
              <w:t>Co-regent Belshazzar</w:t>
            </w:r>
          </w:p>
          <w:p w14:paraId="27DA5170" w14:textId="77777777" w:rsidR="005F064D" w:rsidRPr="006A171E" w:rsidRDefault="005F064D" w:rsidP="000C2759">
            <w:pPr>
              <w:autoSpaceDE w:val="0"/>
              <w:autoSpaceDN w:val="0"/>
              <w:adjustRightInd w:val="0"/>
              <w:jc w:val="both"/>
              <w:rPr>
                <w:rFonts w:cs="Times New Roman"/>
              </w:rPr>
            </w:pPr>
          </w:p>
        </w:tc>
        <w:tc>
          <w:tcPr>
            <w:tcW w:w="2880" w:type="dxa"/>
          </w:tcPr>
          <w:p w14:paraId="7D72FA2B" w14:textId="77777777" w:rsidR="005F064D" w:rsidRPr="006A171E" w:rsidRDefault="005F064D" w:rsidP="000C2759">
            <w:pPr>
              <w:autoSpaceDE w:val="0"/>
              <w:autoSpaceDN w:val="0"/>
              <w:adjustRightInd w:val="0"/>
              <w:jc w:val="both"/>
              <w:rPr>
                <w:rFonts w:cs="Times New Roman"/>
              </w:rPr>
            </w:pPr>
            <w:r w:rsidRPr="006A171E">
              <w:rPr>
                <w:rFonts w:cs="Times New Roman"/>
              </w:rPr>
              <w:t>550–539</w:t>
            </w:r>
          </w:p>
          <w:p w14:paraId="3EF44493" w14:textId="77777777" w:rsidR="005F064D" w:rsidRPr="006A171E" w:rsidRDefault="005F064D" w:rsidP="000C2759">
            <w:pPr>
              <w:autoSpaceDE w:val="0"/>
              <w:autoSpaceDN w:val="0"/>
              <w:adjustRightInd w:val="0"/>
              <w:jc w:val="both"/>
              <w:rPr>
                <w:rFonts w:cs="Times New Roman"/>
              </w:rPr>
            </w:pPr>
          </w:p>
        </w:tc>
      </w:tr>
      <w:tr w:rsidR="005F064D" w:rsidRPr="006A171E" w14:paraId="7EEF1B05" w14:textId="77777777" w:rsidTr="000C2759">
        <w:tc>
          <w:tcPr>
            <w:tcW w:w="2880" w:type="dxa"/>
            <w:vMerge w:val="restart"/>
          </w:tcPr>
          <w:p w14:paraId="21E09752" w14:textId="77777777" w:rsidR="005F064D" w:rsidRPr="006A171E" w:rsidRDefault="005F064D" w:rsidP="000C2759">
            <w:pPr>
              <w:autoSpaceDE w:val="0"/>
              <w:autoSpaceDN w:val="0"/>
              <w:adjustRightInd w:val="0"/>
              <w:rPr>
                <w:rFonts w:cs="Times New Roman"/>
              </w:rPr>
            </w:pPr>
            <w:r w:rsidRPr="006A171E">
              <w:rPr>
                <w:rFonts w:cs="Times New Roman"/>
                <w:b/>
              </w:rPr>
              <w:t>Persia</w:t>
            </w:r>
          </w:p>
          <w:p w14:paraId="4019F2A4" w14:textId="77777777" w:rsidR="005F064D" w:rsidRPr="006A171E" w:rsidRDefault="005F064D" w:rsidP="000C2759">
            <w:pPr>
              <w:autoSpaceDE w:val="0"/>
              <w:autoSpaceDN w:val="0"/>
              <w:adjustRightInd w:val="0"/>
              <w:rPr>
                <w:rFonts w:cs="Times New Roman"/>
              </w:rPr>
            </w:pPr>
          </w:p>
        </w:tc>
        <w:tc>
          <w:tcPr>
            <w:tcW w:w="2880" w:type="dxa"/>
          </w:tcPr>
          <w:p w14:paraId="3E7E4CDA" w14:textId="77777777" w:rsidR="005F064D" w:rsidRPr="006A171E" w:rsidRDefault="005F064D" w:rsidP="000C2759">
            <w:pPr>
              <w:autoSpaceDE w:val="0"/>
              <w:autoSpaceDN w:val="0"/>
              <w:adjustRightInd w:val="0"/>
              <w:jc w:val="both"/>
              <w:rPr>
                <w:rFonts w:cs="Times New Roman"/>
              </w:rPr>
            </w:pPr>
            <w:r w:rsidRPr="006A171E">
              <w:rPr>
                <w:rFonts w:cs="Times New Roman"/>
              </w:rPr>
              <w:t>Cyrus</w:t>
            </w:r>
          </w:p>
          <w:p w14:paraId="0E5727C8" w14:textId="77777777" w:rsidR="005F064D" w:rsidRPr="006A171E" w:rsidRDefault="005F064D" w:rsidP="000C2759">
            <w:pPr>
              <w:autoSpaceDE w:val="0"/>
              <w:autoSpaceDN w:val="0"/>
              <w:adjustRightInd w:val="0"/>
              <w:jc w:val="both"/>
              <w:rPr>
                <w:rFonts w:cs="Times New Roman"/>
              </w:rPr>
            </w:pPr>
          </w:p>
        </w:tc>
        <w:tc>
          <w:tcPr>
            <w:tcW w:w="2880" w:type="dxa"/>
          </w:tcPr>
          <w:p w14:paraId="409DDC4D" w14:textId="77777777" w:rsidR="005F064D" w:rsidRPr="006A171E" w:rsidRDefault="005F064D" w:rsidP="000C2759">
            <w:pPr>
              <w:autoSpaceDE w:val="0"/>
              <w:autoSpaceDN w:val="0"/>
              <w:adjustRightInd w:val="0"/>
              <w:jc w:val="both"/>
              <w:rPr>
                <w:rFonts w:cs="Times New Roman"/>
              </w:rPr>
            </w:pPr>
            <w:r w:rsidRPr="006A171E">
              <w:rPr>
                <w:rFonts w:cs="Times New Roman"/>
              </w:rPr>
              <w:t>539–530</w:t>
            </w:r>
          </w:p>
          <w:p w14:paraId="03195C1B" w14:textId="77777777" w:rsidR="005F064D" w:rsidRPr="006A171E" w:rsidRDefault="005F064D" w:rsidP="000C2759">
            <w:pPr>
              <w:autoSpaceDE w:val="0"/>
              <w:autoSpaceDN w:val="0"/>
              <w:adjustRightInd w:val="0"/>
              <w:jc w:val="both"/>
              <w:rPr>
                <w:rFonts w:cs="Times New Roman"/>
              </w:rPr>
            </w:pPr>
          </w:p>
        </w:tc>
      </w:tr>
      <w:tr w:rsidR="005F064D" w:rsidRPr="006A171E" w14:paraId="2B94D703" w14:textId="77777777" w:rsidTr="000C2759">
        <w:tc>
          <w:tcPr>
            <w:tcW w:w="2880" w:type="dxa"/>
            <w:vMerge/>
          </w:tcPr>
          <w:p w14:paraId="35EC9D42" w14:textId="77777777" w:rsidR="005F064D" w:rsidRPr="006A171E" w:rsidRDefault="005F064D" w:rsidP="000C2759">
            <w:pPr>
              <w:autoSpaceDE w:val="0"/>
              <w:autoSpaceDN w:val="0"/>
              <w:adjustRightInd w:val="0"/>
              <w:jc w:val="both"/>
              <w:rPr>
                <w:rFonts w:cs="Times New Roman"/>
              </w:rPr>
            </w:pPr>
          </w:p>
        </w:tc>
        <w:tc>
          <w:tcPr>
            <w:tcW w:w="2880" w:type="dxa"/>
          </w:tcPr>
          <w:p w14:paraId="5159C2EB" w14:textId="77777777" w:rsidR="005F064D" w:rsidRPr="006A171E" w:rsidRDefault="005F064D" w:rsidP="000C2759">
            <w:pPr>
              <w:autoSpaceDE w:val="0"/>
              <w:autoSpaceDN w:val="0"/>
              <w:adjustRightInd w:val="0"/>
              <w:jc w:val="both"/>
              <w:rPr>
                <w:rFonts w:cs="Times New Roman"/>
              </w:rPr>
            </w:pPr>
            <w:r w:rsidRPr="006A171E">
              <w:rPr>
                <w:rFonts w:cs="Times New Roman"/>
              </w:rPr>
              <w:t>Darius I</w:t>
            </w:r>
          </w:p>
          <w:p w14:paraId="7B979852" w14:textId="77777777" w:rsidR="005F064D" w:rsidRPr="006A171E" w:rsidRDefault="005F064D" w:rsidP="000C2759">
            <w:pPr>
              <w:autoSpaceDE w:val="0"/>
              <w:autoSpaceDN w:val="0"/>
              <w:adjustRightInd w:val="0"/>
              <w:jc w:val="both"/>
              <w:rPr>
                <w:rFonts w:cs="Times New Roman"/>
              </w:rPr>
            </w:pPr>
          </w:p>
        </w:tc>
        <w:tc>
          <w:tcPr>
            <w:tcW w:w="2880" w:type="dxa"/>
          </w:tcPr>
          <w:p w14:paraId="01BB71A9" w14:textId="77777777" w:rsidR="005F064D" w:rsidRPr="006A171E" w:rsidRDefault="005F064D" w:rsidP="000C2759">
            <w:pPr>
              <w:autoSpaceDE w:val="0"/>
              <w:autoSpaceDN w:val="0"/>
              <w:adjustRightInd w:val="0"/>
              <w:jc w:val="both"/>
              <w:rPr>
                <w:rFonts w:cs="Times New Roman"/>
              </w:rPr>
            </w:pPr>
            <w:r w:rsidRPr="006A171E">
              <w:rPr>
                <w:rFonts w:cs="Times New Roman"/>
              </w:rPr>
              <w:t>522–486</w:t>
            </w:r>
            <w:r w:rsidRPr="006A171E">
              <w:rPr>
                <w:rFonts w:cs="Times New Roman"/>
                <w:vertAlign w:val="superscript"/>
              </w:rPr>
              <w:footnoteReference w:id="2"/>
            </w:r>
          </w:p>
          <w:p w14:paraId="0F041B37" w14:textId="77777777" w:rsidR="005F064D" w:rsidRPr="006A171E" w:rsidRDefault="005F064D" w:rsidP="000C2759">
            <w:pPr>
              <w:autoSpaceDE w:val="0"/>
              <w:autoSpaceDN w:val="0"/>
              <w:adjustRightInd w:val="0"/>
              <w:jc w:val="both"/>
              <w:rPr>
                <w:rFonts w:cs="Times New Roman"/>
              </w:rPr>
            </w:pPr>
          </w:p>
        </w:tc>
      </w:tr>
    </w:tbl>
    <w:p w14:paraId="08096A41" w14:textId="77777777" w:rsidR="005F064D" w:rsidRPr="00337F4E" w:rsidRDefault="005F064D" w:rsidP="005F064D">
      <w:pPr>
        <w:ind w:left="720"/>
        <w:rPr>
          <w:i/>
          <w:iCs/>
        </w:rPr>
      </w:pPr>
    </w:p>
    <w:p w14:paraId="6C3E031F" w14:textId="3EFD558E" w:rsidR="005F064D" w:rsidRPr="005041C7" w:rsidRDefault="005041C7" w:rsidP="005F064D">
      <w:pPr>
        <w:rPr>
          <w:b/>
          <w:bCs/>
          <w:sz w:val="28"/>
          <w:szCs w:val="28"/>
          <w:u w:val="single"/>
        </w:rPr>
      </w:pPr>
      <w:r w:rsidRPr="005041C7">
        <w:rPr>
          <w:b/>
          <w:bCs/>
          <w:sz w:val="28"/>
          <w:szCs w:val="28"/>
          <w:u w:val="single"/>
        </w:rPr>
        <w:t>BABYLON</w:t>
      </w:r>
    </w:p>
    <w:p w14:paraId="220AAF5B" w14:textId="77777777" w:rsidR="005F064D" w:rsidRDefault="005F064D" w:rsidP="005F064D">
      <w:pPr>
        <w:pStyle w:val="ListParagraph"/>
        <w:numPr>
          <w:ilvl w:val="0"/>
          <w:numId w:val="1"/>
        </w:numPr>
        <w:rPr>
          <w:b/>
          <w:bCs/>
        </w:rPr>
      </w:pPr>
      <w:r w:rsidRPr="009555D1">
        <w:rPr>
          <w:b/>
          <w:bCs/>
        </w:rPr>
        <w:t xml:space="preserve">The </w:t>
      </w:r>
      <w:r>
        <w:rPr>
          <w:b/>
          <w:bCs/>
        </w:rPr>
        <w:t>Coming</w:t>
      </w:r>
      <w:r w:rsidRPr="009555D1">
        <w:rPr>
          <w:b/>
          <w:bCs/>
        </w:rPr>
        <w:t xml:space="preserve"> of Babylon and the Fall of Judah</w:t>
      </w:r>
    </w:p>
    <w:p w14:paraId="2758D347" w14:textId="780B54C3" w:rsidR="005F064D" w:rsidRPr="00FF1301" w:rsidRDefault="005F064D" w:rsidP="005F064D">
      <w:pPr>
        <w:pStyle w:val="ListParagraph"/>
        <w:numPr>
          <w:ilvl w:val="1"/>
          <w:numId w:val="1"/>
        </w:numPr>
      </w:pPr>
      <w:r w:rsidRPr="00FF1301">
        <w:t xml:space="preserve">The Northern Kingdom of Israel fell to the Assyrians c.733 B.C. The people assimilated, deported and scattered. Israel loses its identity. </w:t>
      </w:r>
    </w:p>
    <w:p w14:paraId="1C681EEB" w14:textId="77777777" w:rsidR="005F064D" w:rsidRPr="00FF1301" w:rsidRDefault="005F064D" w:rsidP="005F064D">
      <w:pPr>
        <w:pStyle w:val="BodyText"/>
        <w:numPr>
          <w:ilvl w:val="1"/>
          <w:numId w:val="1"/>
        </w:numPr>
        <w:rPr>
          <w:rFonts w:eastAsiaTheme="minorHAnsi"/>
          <w:color w:val="000000" w:themeColor="text1"/>
          <w:szCs w:val="24"/>
        </w:rPr>
      </w:pPr>
      <w:r w:rsidRPr="00FF1301">
        <w:rPr>
          <w:rFonts w:eastAsiaTheme="minorHAnsi"/>
          <w:color w:val="000000" w:themeColor="text1"/>
          <w:szCs w:val="24"/>
        </w:rPr>
        <w:t xml:space="preserve">The Coming of Babylon: </w:t>
      </w:r>
      <w:r w:rsidRPr="00FF1301">
        <w:rPr>
          <w:i/>
          <w:iCs/>
          <w:color w:val="000000" w:themeColor="text1"/>
          <w:szCs w:val="24"/>
        </w:rPr>
        <w:t xml:space="preserve">In the third year of the reign of Jehoiakim king of Judah, Nebuchadnezzar king of Babylon came to Jerusalem and besieged it. </w:t>
      </w:r>
      <w:r w:rsidRPr="00FF1301">
        <w:rPr>
          <w:i/>
          <w:iCs/>
          <w:color w:val="000000" w:themeColor="text1"/>
          <w:szCs w:val="24"/>
          <w:vertAlign w:val="superscript"/>
        </w:rPr>
        <w:t>2 </w:t>
      </w:r>
      <w:r w:rsidRPr="00FF1301">
        <w:rPr>
          <w:i/>
          <w:iCs/>
          <w:color w:val="000000" w:themeColor="text1"/>
          <w:szCs w:val="24"/>
        </w:rPr>
        <w:t>And the Lord gave Jehoiakim king of Judah into his hand, with some of the vessels of the house of God. And he brought them to the land of Shinar, to the house of his god, and placed the vessels in the treasury of his god. (Daniel 2:1-2)</w:t>
      </w:r>
    </w:p>
    <w:p w14:paraId="2847CEB6" w14:textId="77777777" w:rsidR="005F064D" w:rsidRPr="005F064D" w:rsidRDefault="005F064D" w:rsidP="005F064D">
      <w:pPr>
        <w:pStyle w:val="BodyText"/>
        <w:numPr>
          <w:ilvl w:val="1"/>
          <w:numId w:val="1"/>
        </w:numPr>
        <w:rPr>
          <w:rFonts w:eastAsiaTheme="minorHAnsi"/>
          <w:b/>
          <w:bCs/>
          <w:color w:val="000000" w:themeColor="text1"/>
          <w:szCs w:val="24"/>
        </w:rPr>
      </w:pPr>
      <w:r w:rsidRPr="005F064D">
        <w:rPr>
          <w:b/>
          <w:bCs/>
        </w:rPr>
        <w:t xml:space="preserve">In 598 B.C. open revolt broke out in Judah. </w:t>
      </w:r>
    </w:p>
    <w:p w14:paraId="3E5D7D26" w14:textId="77777777" w:rsidR="005F064D" w:rsidRPr="00FF1301" w:rsidRDefault="005F064D" w:rsidP="005F064D">
      <w:pPr>
        <w:pStyle w:val="BodyText"/>
        <w:numPr>
          <w:ilvl w:val="2"/>
          <w:numId w:val="1"/>
        </w:numPr>
        <w:rPr>
          <w:rFonts w:eastAsiaTheme="minorHAnsi"/>
          <w:i/>
          <w:iCs/>
          <w:color w:val="000000" w:themeColor="text1"/>
          <w:szCs w:val="24"/>
        </w:rPr>
      </w:pPr>
      <w:r w:rsidRPr="00FF1301">
        <w:rPr>
          <w:i/>
          <w:iCs/>
        </w:rPr>
        <w:t xml:space="preserve">King Jehoiakim …” turned and rebelled against [Nebuchadnezzar king of Babylon]” (2 Kings 24:1). </w:t>
      </w:r>
    </w:p>
    <w:p w14:paraId="6CDCD79C" w14:textId="77777777" w:rsidR="005F064D" w:rsidRPr="005F064D" w:rsidRDefault="005F064D" w:rsidP="005F064D">
      <w:pPr>
        <w:pStyle w:val="BodyText"/>
        <w:numPr>
          <w:ilvl w:val="2"/>
          <w:numId w:val="1"/>
        </w:numPr>
        <w:rPr>
          <w:rFonts w:eastAsiaTheme="minorHAnsi"/>
          <w:b/>
          <w:bCs/>
          <w:i/>
          <w:iCs/>
          <w:color w:val="000000" w:themeColor="text1"/>
          <w:szCs w:val="24"/>
        </w:rPr>
      </w:pPr>
      <w:r w:rsidRPr="005F064D">
        <w:rPr>
          <w:i/>
          <w:iCs/>
        </w:rPr>
        <w:t>And Nebuchadnezzar, came against the city and his servants did besiege it…. And he carried away all Jerusalem…. And he carried away Jehoiachin to Babylon” (2 Kings 24:8-15).”</w:t>
      </w:r>
    </w:p>
    <w:p w14:paraId="743BA325" w14:textId="77777777" w:rsidR="005F064D" w:rsidRDefault="005F064D" w:rsidP="005F064D">
      <w:pPr>
        <w:pStyle w:val="BodyText"/>
        <w:numPr>
          <w:ilvl w:val="2"/>
          <w:numId w:val="1"/>
        </w:numPr>
      </w:pPr>
      <w:r>
        <w:t xml:space="preserve">“After the first conquest in 597 B.C. Nebuchadnezzar allowed Judah to continue its existence as a vassal-state. Werner Keller: </w:t>
      </w:r>
    </w:p>
    <w:p w14:paraId="7573F0E1" w14:textId="77777777" w:rsidR="005F064D" w:rsidRDefault="005F064D" w:rsidP="005F064D">
      <w:pPr>
        <w:pStyle w:val="BodyText"/>
        <w:numPr>
          <w:ilvl w:val="2"/>
          <w:numId w:val="1"/>
        </w:numPr>
      </w:pPr>
      <w:r w:rsidRPr="005F064D">
        <w:rPr>
          <w:i/>
          <w:iCs/>
        </w:rPr>
        <w:t>“[King] Zedekiah rebelled against the king of Babylon” (2 Kings 24:20).</w:t>
      </w:r>
    </w:p>
    <w:p w14:paraId="1CA6CBBD" w14:textId="6FE3139A" w:rsidR="005F064D" w:rsidRPr="005F064D" w:rsidRDefault="005F064D" w:rsidP="005F064D">
      <w:pPr>
        <w:pStyle w:val="BodyText"/>
        <w:numPr>
          <w:ilvl w:val="2"/>
          <w:numId w:val="1"/>
        </w:numPr>
      </w:pPr>
      <w:r w:rsidRPr="005F064D">
        <w:rPr>
          <w:rFonts w:eastAsiaTheme="minorHAnsi"/>
          <w:b/>
          <w:bCs/>
          <w:szCs w:val="24"/>
        </w:rPr>
        <w:t>The Fall of Jerusalem (588 B.C.).</w:t>
      </w:r>
    </w:p>
    <w:p w14:paraId="2E0B5BE9" w14:textId="77777777" w:rsidR="005F064D" w:rsidRDefault="005F064D" w:rsidP="005F064D">
      <w:pPr>
        <w:pStyle w:val="BodyText"/>
        <w:numPr>
          <w:ilvl w:val="1"/>
          <w:numId w:val="5"/>
        </w:numPr>
        <w:rPr>
          <w:rFonts w:eastAsiaTheme="minorHAnsi"/>
          <w:b/>
          <w:bCs/>
          <w:szCs w:val="24"/>
        </w:rPr>
      </w:pPr>
      <w:r w:rsidRPr="005F064D">
        <w:rPr>
          <w:i/>
          <w:iCs/>
        </w:rPr>
        <w:t>In the “tenth month” (2 Kings 25:1) of the same year 587 B.C. — it was “the ninth year” of King Zedekiah — Nebuchadnezzar arrived with a</w:t>
      </w:r>
      <w:r>
        <w:rPr>
          <w:i/>
          <w:iCs/>
        </w:rPr>
        <w:t>n</w:t>
      </w:r>
      <w:r w:rsidRPr="005F064D">
        <w:rPr>
          <w:i/>
          <w:iCs/>
        </w:rPr>
        <w:t xml:space="preserve"> army from Babylon. With the speed of lightning the punitive campaign against rebellious Judah was unfolded.”</w:t>
      </w:r>
    </w:p>
    <w:p w14:paraId="36560095" w14:textId="053BC54B" w:rsidR="005F064D" w:rsidRDefault="005F064D" w:rsidP="005F064D">
      <w:pPr>
        <w:pStyle w:val="BodyText"/>
        <w:numPr>
          <w:ilvl w:val="1"/>
          <w:numId w:val="5"/>
        </w:numPr>
        <w:rPr>
          <w:rFonts w:eastAsiaTheme="minorHAnsi"/>
          <w:b/>
          <w:bCs/>
          <w:szCs w:val="24"/>
        </w:rPr>
      </w:pPr>
      <w:r w:rsidRPr="005F064D">
        <w:rPr>
          <w:szCs w:val="24"/>
        </w:rPr>
        <w:t>King Zedekiah was taken. His children were “slaughtered” before his eyes, he himself had his eyes put out (</w:t>
      </w:r>
      <w:r w:rsidRPr="00775800">
        <w:rPr>
          <w:szCs w:val="24"/>
        </w:rPr>
        <w:t xml:space="preserve">II Kings 25:6f; Jer. 52:9–11). </w:t>
      </w:r>
    </w:p>
    <w:p w14:paraId="653CC3AE" w14:textId="2278EA69" w:rsidR="005F064D" w:rsidRPr="005F064D" w:rsidRDefault="005F064D" w:rsidP="005F064D">
      <w:pPr>
        <w:pStyle w:val="BodyText"/>
        <w:numPr>
          <w:ilvl w:val="1"/>
          <w:numId w:val="5"/>
        </w:numPr>
        <w:rPr>
          <w:rFonts w:eastAsiaTheme="minorHAnsi"/>
          <w:b/>
          <w:bCs/>
          <w:szCs w:val="24"/>
        </w:rPr>
      </w:pPr>
      <w:r w:rsidRPr="005F064D">
        <w:rPr>
          <w:szCs w:val="24"/>
        </w:rPr>
        <w:t>Jerusalem was given over to plundering: the royal palace and the temple were set on fire; the city walls and fortificat</w:t>
      </w:r>
      <w:r w:rsidR="00887CA6">
        <w:rPr>
          <w:szCs w:val="24"/>
        </w:rPr>
        <w:t>ions were razed to the ground.</w:t>
      </w:r>
    </w:p>
    <w:p w14:paraId="2D9010F5" w14:textId="77777777" w:rsidR="00887CA6" w:rsidRPr="00887CA6" w:rsidRDefault="005F064D" w:rsidP="005F064D">
      <w:pPr>
        <w:pStyle w:val="BodyText"/>
        <w:numPr>
          <w:ilvl w:val="1"/>
          <w:numId w:val="5"/>
        </w:numPr>
        <w:rPr>
          <w:b/>
          <w:bCs/>
        </w:rPr>
      </w:pPr>
      <w:r>
        <w:rPr>
          <w:szCs w:val="24"/>
        </w:rPr>
        <w:t>A substantial portion of the population was deported.</w:t>
      </w:r>
    </w:p>
    <w:p w14:paraId="3BF0E593" w14:textId="77777777" w:rsidR="00887CA6" w:rsidRDefault="00887CA6" w:rsidP="00887CA6">
      <w:pPr>
        <w:pStyle w:val="BodyText"/>
        <w:ind w:left="2520"/>
        <w:rPr>
          <w:szCs w:val="24"/>
        </w:rPr>
      </w:pPr>
    </w:p>
    <w:p w14:paraId="0B25F593" w14:textId="77777777" w:rsidR="00887CA6" w:rsidRDefault="00887CA6" w:rsidP="00887CA6">
      <w:pPr>
        <w:pStyle w:val="BodyText"/>
        <w:ind w:left="2520"/>
        <w:rPr>
          <w:szCs w:val="24"/>
        </w:rPr>
      </w:pPr>
    </w:p>
    <w:p w14:paraId="1E7E17D9" w14:textId="34B126B0" w:rsidR="005F064D" w:rsidRPr="005F064D" w:rsidRDefault="005F064D" w:rsidP="00887CA6">
      <w:pPr>
        <w:pStyle w:val="BodyText"/>
        <w:ind w:left="2520"/>
        <w:rPr>
          <w:b/>
          <w:bCs/>
        </w:rPr>
      </w:pPr>
      <w:r>
        <w:rPr>
          <w:szCs w:val="24"/>
        </w:rPr>
        <w:t xml:space="preserve"> </w:t>
      </w:r>
      <w:r w:rsidRPr="00775800">
        <w:t xml:space="preserve"> </w:t>
      </w:r>
    </w:p>
    <w:p w14:paraId="0C5DE69C" w14:textId="77777777" w:rsidR="005F064D" w:rsidRDefault="005F064D" w:rsidP="005F064D">
      <w:pPr>
        <w:pStyle w:val="BodyText"/>
        <w:numPr>
          <w:ilvl w:val="0"/>
          <w:numId w:val="1"/>
        </w:numPr>
        <w:rPr>
          <w:b/>
          <w:bCs/>
        </w:rPr>
      </w:pPr>
      <w:r w:rsidRPr="005F064D">
        <w:rPr>
          <w:b/>
          <w:bCs/>
        </w:rPr>
        <w:t>The Babylonians</w:t>
      </w:r>
    </w:p>
    <w:p w14:paraId="68BC1104" w14:textId="77777777" w:rsidR="003F09E4" w:rsidRPr="00FF1301" w:rsidRDefault="005F064D" w:rsidP="003F09E4">
      <w:pPr>
        <w:pStyle w:val="BodyText"/>
        <w:numPr>
          <w:ilvl w:val="1"/>
          <w:numId w:val="1"/>
        </w:numPr>
      </w:pPr>
      <w:r w:rsidRPr="00FF1301">
        <w:t>Who were the Babylonians?</w:t>
      </w:r>
      <w:r w:rsidR="003F09E4" w:rsidRPr="00FF1301">
        <w:t xml:space="preserve"> </w:t>
      </w:r>
      <w:r w:rsidRPr="00FF1301">
        <w:t>Historically and ethnically Babylonia was a product of the union of the Akkadians and the Sumerians</w:t>
      </w:r>
      <w:r w:rsidR="003F09E4" w:rsidRPr="00FF1301">
        <w:t xml:space="preserve"> (Semites).</w:t>
      </w:r>
    </w:p>
    <w:p w14:paraId="52FA7C4F" w14:textId="7F2D4C4C" w:rsidR="003F09E4" w:rsidRPr="00FF1301" w:rsidRDefault="005F064D" w:rsidP="003F09E4">
      <w:pPr>
        <w:pStyle w:val="BodyText"/>
        <w:numPr>
          <w:ilvl w:val="1"/>
          <w:numId w:val="1"/>
        </w:numPr>
      </w:pPr>
      <w:r w:rsidRPr="00FF1301">
        <w:t>“Early Babylon and Hammurabi (1792-1750 b.c.; See Episode 2)</w:t>
      </w:r>
    </w:p>
    <w:p w14:paraId="3048CBFC" w14:textId="2BA29CEA" w:rsidR="005F064D" w:rsidRPr="003F09E4" w:rsidRDefault="005F064D" w:rsidP="003F09E4">
      <w:pPr>
        <w:pStyle w:val="BodyText"/>
        <w:numPr>
          <w:ilvl w:val="1"/>
          <w:numId w:val="1"/>
        </w:numPr>
        <w:rPr>
          <w:b/>
          <w:bCs/>
        </w:rPr>
      </w:pPr>
      <w:r w:rsidRPr="003F09E4">
        <w:rPr>
          <w:b/>
          <w:bCs/>
        </w:rPr>
        <w:t>New Babylon</w:t>
      </w:r>
      <w:r w:rsidRPr="00775800">
        <w:t xml:space="preserve"> </w:t>
      </w:r>
      <w:r>
        <w:t>(</w:t>
      </w:r>
      <w:r w:rsidRPr="003A79C9">
        <w:t>The “Chaldeans”= Neo Babylonians</w:t>
      </w:r>
      <w:r>
        <w:t>)</w:t>
      </w:r>
    </w:p>
    <w:p w14:paraId="73C64455" w14:textId="77777777" w:rsidR="005F064D" w:rsidRDefault="005F064D" w:rsidP="005F064D">
      <w:pPr>
        <w:pStyle w:val="ListParagraph"/>
        <w:numPr>
          <w:ilvl w:val="1"/>
          <w:numId w:val="2"/>
        </w:numPr>
      </w:pPr>
      <w:r>
        <w:t xml:space="preserve">Nabopalassar </w:t>
      </w:r>
      <w:r w:rsidRPr="00F26C06">
        <w:t>(747-734 b.c.).</w:t>
      </w:r>
    </w:p>
    <w:p w14:paraId="682DE3AC" w14:textId="6F52A600" w:rsidR="003F09E4" w:rsidRDefault="005F064D" w:rsidP="003F09E4">
      <w:pPr>
        <w:pStyle w:val="ListParagraph"/>
        <w:numPr>
          <w:ilvl w:val="1"/>
          <w:numId w:val="2"/>
        </w:numPr>
      </w:pPr>
      <w:r w:rsidRPr="00F26C06">
        <w:lastRenderedPageBreak/>
        <w:t>Nebuchadrezzar II (605-562 b.c.).</w:t>
      </w:r>
    </w:p>
    <w:p w14:paraId="50B73F4A" w14:textId="77777777" w:rsidR="00887CA6" w:rsidRDefault="00887CA6" w:rsidP="00887CA6">
      <w:pPr>
        <w:pStyle w:val="ListParagraph"/>
        <w:ind w:left="1800"/>
      </w:pPr>
    </w:p>
    <w:p w14:paraId="130317D4" w14:textId="0806A91F" w:rsidR="003F09E4" w:rsidRPr="003F09E4" w:rsidRDefault="005F064D" w:rsidP="003F09E4">
      <w:pPr>
        <w:pStyle w:val="ListParagraph"/>
        <w:numPr>
          <w:ilvl w:val="0"/>
          <w:numId w:val="1"/>
        </w:numPr>
      </w:pPr>
      <w:r w:rsidRPr="003F09E4">
        <w:rPr>
          <w:rFonts w:cs="Times New Roman"/>
          <w:b/>
          <w:bCs/>
        </w:rPr>
        <w:t>The gods</w:t>
      </w:r>
      <w:r w:rsidR="00887CA6">
        <w:rPr>
          <w:rFonts w:cs="Times New Roman"/>
          <w:b/>
          <w:bCs/>
        </w:rPr>
        <w:t xml:space="preserve"> -</w:t>
      </w:r>
      <w:r w:rsidRPr="003F09E4">
        <w:rPr>
          <w:rFonts w:cs="Times New Roman"/>
          <w:b/>
          <w:bCs/>
        </w:rPr>
        <w:t xml:space="preserve"> Babylon</w:t>
      </w:r>
    </w:p>
    <w:p w14:paraId="46871A03" w14:textId="77777777" w:rsidR="003F09E4" w:rsidRPr="003F09E4" w:rsidRDefault="005F064D" w:rsidP="003F09E4">
      <w:pPr>
        <w:pStyle w:val="ListParagraph"/>
        <w:numPr>
          <w:ilvl w:val="1"/>
          <w:numId w:val="1"/>
        </w:numPr>
      </w:pPr>
      <w:r w:rsidRPr="003F09E4">
        <w:rPr>
          <w:rFonts w:cs="Times New Roman"/>
          <w:i/>
          <w:iCs/>
        </w:rPr>
        <w:t xml:space="preserve">Anu—Oldest God </w:t>
      </w:r>
    </w:p>
    <w:p w14:paraId="7B1A2490" w14:textId="30F87401" w:rsidR="005F064D" w:rsidRPr="003F09E4" w:rsidRDefault="005F064D" w:rsidP="003F09E4">
      <w:pPr>
        <w:pStyle w:val="ListParagraph"/>
        <w:numPr>
          <w:ilvl w:val="1"/>
          <w:numId w:val="1"/>
        </w:numPr>
      </w:pPr>
      <w:r w:rsidRPr="003F09E4">
        <w:rPr>
          <w:rFonts w:cs="Times New Roman"/>
          <w:i/>
          <w:iCs/>
        </w:rPr>
        <w:t>Marduk</w:t>
      </w:r>
      <w:r w:rsidRPr="003F09E4">
        <w:rPr>
          <w:rFonts w:cs="Times New Roman"/>
        </w:rPr>
        <w:t>—Storm God, head of the pantheon</w:t>
      </w:r>
      <w:r w:rsidRPr="003F09E4">
        <w:rPr>
          <w:rFonts w:cs="Times New Roman"/>
          <w:i/>
          <w:iCs/>
        </w:rPr>
        <w:t xml:space="preserve"> </w:t>
      </w:r>
    </w:p>
    <w:p w14:paraId="34F9AD03" w14:textId="77777777" w:rsidR="005F064D" w:rsidRPr="000357F6" w:rsidRDefault="005F064D" w:rsidP="003F09E4">
      <w:pPr>
        <w:pStyle w:val="Body"/>
        <w:numPr>
          <w:ilvl w:val="1"/>
          <w:numId w:val="1"/>
        </w:numPr>
        <w:rPr>
          <w:rFonts w:ascii="Times New Roman" w:hAnsi="Times New Roman" w:cs="Times New Roman"/>
          <w:sz w:val="24"/>
          <w:szCs w:val="24"/>
        </w:rPr>
      </w:pPr>
      <w:r w:rsidRPr="000357F6">
        <w:rPr>
          <w:rFonts w:ascii="Times New Roman" w:hAnsi="Times New Roman" w:cs="Times New Roman"/>
          <w:i/>
          <w:iCs/>
          <w:sz w:val="24"/>
          <w:szCs w:val="24"/>
        </w:rPr>
        <w:t>Enlil</w:t>
      </w:r>
      <w:r w:rsidRPr="000357F6">
        <w:rPr>
          <w:rFonts w:ascii="Times New Roman" w:hAnsi="Times New Roman" w:cs="Times New Roman"/>
          <w:sz w:val="24"/>
          <w:szCs w:val="24"/>
        </w:rPr>
        <w:t>— storm</w:t>
      </w:r>
    </w:p>
    <w:p w14:paraId="696F19F0" w14:textId="77777777" w:rsidR="005F064D" w:rsidRPr="000357F6" w:rsidRDefault="005F064D" w:rsidP="003F09E4">
      <w:pPr>
        <w:pStyle w:val="Body"/>
        <w:numPr>
          <w:ilvl w:val="1"/>
          <w:numId w:val="1"/>
        </w:numPr>
        <w:rPr>
          <w:rFonts w:ascii="Times New Roman" w:hAnsi="Times New Roman" w:cs="Times New Roman"/>
          <w:sz w:val="24"/>
          <w:szCs w:val="24"/>
        </w:rPr>
      </w:pPr>
      <w:r w:rsidRPr="000357F6">
        <w:rPr>
          <w:rFonts w:ascii="Times New Roman" w:hAnsi="Times New Roman" w:cs="Times New Roman"/>
          <w:i/>
          <w:iCs/>
          <w:sz w:val="24"/>
          <w:szCs w:val="24"/>
        </w:rPr>
        <w:t>Ea-Enki</w:t>
      </w:r>
      <w:r w:rsidRPr="000357F6">
        <w:rPr>
          <w:rFonts w:ascii="Times New Roman" w:hAnsi="Times New Roman" w:cs="Times New Roman"/>
          <w:sz w:val="24"/>
          <w:szCs w:val="24"/>
        </w:rPr>
        <w:t>— fresh water and subterranean water</w:t>
      </w:r>
    </w:p>
    <w:p w14:paraId="664301D3" w14:textId="77777777" w:rsidR="005F064D" w:rsidRPr="000357F6" w:rsidRDefault="005F064D" w:rsidP="003F09E4">
      <w:pPr>
        <w:pStyle w:val="Body"/>
        <w:numPr>
          <w:ilvl w:val="1"/>
          <w:numId w:val="1"/>
        </w:numPr>
        <w:rPr>
          <w:rFonts w:ascii="Times New Roman" w:hAnsi="Times New Roman" w:cs="Times New Roman"/>
          <w:sz w:val="24"/>
          <w:szCs w:val="24"/>
        </w:rPr>
      </w:pPr>
      <w:r w:rsidRPr="000357F6">
        <w:rPr>
          <w:rFonts w:ascii="Times New Roman" w:hAnsi="Times New Roman" w:cs="Times New Roman"/>
          <w:i/>
          <w:iCs/>
          <w:sz w:val="24"/>
          <w:szCs w:val="24"/>
        </w:rPr>
        <w:t>Sin</w:t>
      </w:r>
      <w:r w:rsidRPr="000357F6">
        <w:rPr>
          <w:rFonts w:ascii="Times New Roman" w:hAnsi="Times New Roman" w:cs="Times New Roman"/>
          <w:sz w:val="24"/>
          <w:szCs w:val="24"/>
        </w:rPr>
        <w:t xml:space="preserve"> (</w:t>
      </w:r>
      <w:r w:rsidRPr="000357F6">
        <w:rPr>
          <w:rFonts w:ascii="Times New Roman" w:hAnsi="Times New Roman" w:cs="Times New Roman"/>
          <w:i/>
          <w:iCs/>
          <w:sz w:val="24"/>
          <w:szCs w:val="24"/>
        </w:rPr>
        <w:t>Nanna</w:t>
      </w:r>
      <w:r w:rsidRPr="000357F6">
        <w:rPr>
          <w:rFonts w:ascii="Times New Roman" w:hAnsi="Times New Roman" w:cs="Times New Roman"/>
          <w:sz w:val="24"/>
          <w:szCs w:val="24"/>
        </w:rPr>
        <w:t>)— moon</w:t>
      </w:r>
    </w:p>
    <w:p w14:paraId="33A9DC3C" w14:textId="77777777" w:rsidR="005F064D" w:rsidRPr="000357F6" w:rsidRDefault="005F064D" w:rsidP="003F09E4">
      <w:pPr>
        <w:pStyle w:val="Body"/>
        <w:numPr>
          <w:ilvl w:val="1"/>
          <w:numId w:val="1"/>
        </w:numPr>
        <w:rPr>
          <w:rFonts w:ascii="Times New Roman" w:hAnsi="Times New Roman" w:cs="Times New Roman"/>
          <w:sz w:val="24"/>
          <w:szCs w:val="24"/>
        </w:rPr>
      </w:pPr>
      <w:r w:rsidRPr="000357F6">
        <w:rPr>
          <w:rFonts w:ascii="Times New Roman" w:hAnsi="Times New Roman" w:cs="Times New Roman"/>
          <w:i/>
          <w:iCs/>
          <w:sz w:val="24"/>
          <w:szCs w:val="24"/>
        </w:rPr>
        <w:t>Utu</w:t>
      </w:r>
      <w:r w:rsidRPr="000357F6">
        <w:rPr>
          <w:rFonts w:ascii="Times New Roman" w:hAnsi="Times New Roman" w:cs="Times New Roman"/>
          <w:sz w:val="24"/>
          <w:szCs w:val="24"/>
        </w:rPr>
        <w:t>— Sun</w:t>
      </w:r>
    </w:p>
    <w:p w14:paraId="1672C8CF" w14:textId="77777777" w:rsidR="005F064D" w:rsidRDefault="005F064D" w:rsidP="003F09E4">
      <w:pPr>
        <w:pStyle w:val="Body"/>
        <w:numPr>
          <w:ilvl w:val="1"/>
          <w:numId w:val="1"/>
        </w:numPr>
        <w:rPr>
          <w:rFonts w:ascii="Times New Roman" w:hAnsi="Times New Roman" w:cs="Times New Roman"/>
          <w:sz w:val="24"/>
          <w:szCs w:val="24"/>
        </w:rPr>
      </w:pPr>
      <w:r w:rsidRPr="000357F6">
        <w:rPr>
          <w:rFonts w:ascii="Times New Roman" w:hAnsi="Times New Roman" w:cs="Times New Roman"/>
          <w:i/>
          <w:iCs/>
          <w:sz w:val="24"/>
          <w:szCs w:val="24"/>
        </w:rPr>
        <w:t>Ishtar</w:t>
      </w:r>
      <w:r w:rsidRPr="000357F6">
        <w:rPr>
          <w:rFonts w:ascii="Times New Roman" w:hAnsi="Times New Roman" w:cs="Times New Roman"/>
          <w:sz w:val="24"/>
          <w:szCs w:val="24"/>
        </w:rPr>
        <w:t>—Fertility</w:t>
      </w:r>
    </w:p>
    <w:p w14:paraId="4C8E6CF6" w14:textId="77777777" w:rsidR="005F064D" w:rsidRPr="000357F6" w:rsidRDefault="005F064D" w:rsidP="003F09E4">
      <w:pPr>
        <w:pStyle w:val="Body"/>
        <w:numPr>
          <w:ilvl w:val="1"/>
          <w:numId w:val="1"/>
        </w:numPr>
        <w:rPr>
          <w:rFonts w:ascii="Times New Roman" w:hAnsi="Times New Roman" w:cs="Times New Roman"/>
          <w:sz w:val="24"/>
          <w:szCs w:val="24"/>
        </w:rPr>
      </w:pPr>
      <w:r>
        <w:rPr>
          <w:rFonts w:ascii="Times New Roman" w:hAnsi="Times New Roman" w:cs="Times New Roman"/>
          <w:i/>
          <w:iCs/>
          <w:sz w:val="24"/>
          <w:szCs w:val="24"/>
        </w:rPr>
        <w:t>Nurgle</w:t>
      </w:r>
      <w:r>
        <w:rPr>
          <w:rFonts w:ascii="Times New Roman" w:hAnsi="Times New Roman" w:cs="Times New Roman"/>
          <w:sz w:val="24"/>
          <w:szCs w:val="24"/>
        </w:rPr>
        <w:t>—death, disease, underworld</w:t>
      </w:r>
    </w:p>
    <w:p w14:paraId="0EF70950" w14:textId="77777777" w:rsidR="005F064D" w:rsidRPr="000357F6" w:rsidRDefault="005F064D" w:rsidP="003F09E4">
      <w:pPr>
        <w:pStyle w:val="Body"/>
        <w:numPr>
          <w:ilvl w:val="1"/>
          <w:numId w:val="1"/>
        </w:numPr>
        <w:rPr>
          <w:rFonts w:ascii="Times New Roman" w:hAnsi="Times New Roman" w:cs="Times New Roman"/>
          <w:sz w:val="24"/>
          <w:szCs w:val="24"/>
        </w:rPr>
      </w:pPr>
      <w:r w:rsidRPr="000357F6">
        <w:rPr>
          <w:rFonts w:ascii="Times New Roman" w:hAnsi="Times New Roman" w:cs="Times New Roman"/>
          <w:i/>
          <w:iCs/>
          <w:sz w:val="24"/>
          <w:szCs w:val="24"/>
        </w:rPr>
        <w:t>Ninurta</w:t>
      </w:r>
      <w:r w:rsidRPr="000357F6">
        <w:rPr>
          <w:rFonts w:ascii="Times New Roman" w:hAnsi="Times New Roman" w:cs="Times New Roman"/>
          <w:sz w:val="24"/>
          <w:szCs w:val="24"/>
        </w:rPr>
        <w:t>— War</w:t>
      </w:r>
    </w:p>
    <w:p w14:paraId="28B5D4CE" w14:textId="77777777" w:rsidR="003F09E4" w:rsidRDefault="005F064D" w:rsidP="005F064D">
      <w:pPr>
        <w:pStyle w:val="Body"/>
        <w:numPr>
          <w:ilvl w:val="1"/>
          <w:numId w:val="1"/>
        </w:numPr>
        <w:rPr>
          <w:rFonts w:ascii="Times New Roman" w:hAnsi="Times New Roman" w:cs="Times New Roman"/>
          <w:sz w:val="24"/>
          <w:szCs w:val="24"/>
        </w:rPr>
      </w:pPr>
      <w:r w:rsidRPr="000357F6">
        <w:rPr>
          <w:rFonts w:ascii="Times New Roman" w:hAnsi="Times New Roman" w:cs="Times New Roman"/>
          <w:i/>
          <w:iCs/>
          <w:sz w:val="24"/>
          <w:szCs w:val="24"/>
        </w:rPr>
        <w:t>Tiamat</w:t>
      </w:r>
      <w:r w:rsidRPr="000357F6">
        <w:rPr>
          <w:rFonts w:ascii="Times New Roman" w:hAnsi="Times New Roman" w:cs="Times New Roman"/>
          <w:sz w:val="24"/>
          <w:szCs w:val="24"/>
        </w:rPr>
        <w:t>— Salt Water (Evil)</w:t>
      </w:r>
    </w:p>
    <w:p w14:paraId="534600C3" w14:textId="73D465C6" w:rsidR="003F09E4" w:rsidRPr="00887CA6" w:rsidRDefault="003F09E4" w:rsidP="005F064D">
      <w:pPr>
        <w:pStyle w:val="Body"/>
        <w:numPr>
          <w:ilvl w:val="1"/>
          <w:numId w:val="1"/>
        </w:numPr>
        <w:rPr>
          <w:rFonts w:ascii="Times New Roman" w:hAnsi="Times New Roman" w:cs="Times New Roman"/>
          <w:sz w:val="24"/>
          <w:szCs w:val="24"/>
        </w:rPr>
      </w:pPr>
      <w:r w:rsidRPr="003F09E4">
        <w:rPr>
          <w:rFonts w:ascii="Times New Roman" w:hAnsi="Times New Roman" w:cs="Times New Roman"/>
          <w:sz w:val="24"/>
          <w:szCs w:val="24"/>
        </w:rPr>
        <w:t>William Durant</w:t>
      </w:r>
      <w:r w:rsidRPr="003F09E4">
        <w:t>:</w:t>
      </w:r>
      <w:r w:rsidRPr="003F09E4">
        <w:rPr>
          <w:rFonts w:ascii="Times New Roman" w:hAnsi="Times New Roman" w:cs="Times New Roman"/>
        </w:rPr>
        <w:t xml:space="preserve"> </w:t>
      </w:r>
      <w:r w:rsidR="005F064D" w:rsidRPr="003F09E4">
        <w:rPr>
          <w:rFonts w:ascii="Times New Roman" w:hAnsi="Times New Roman" w:cs="Times New Roman"/>
          <w:i/>
          <w:iCs/>
        </w:rPr>
        <w:t>“Never was a civilization richer in superstitions. Every turn of chance from the anomalies of birth to the varieties of death received a popular, sometimes an official and sacerdotal, interpretation in magical or supernatural terms.” “Every movement of the rivers, every aspect of the stars, every dream, every unusual performance of man or beast, revealed the future to the properly instructed Babylonian. The fate of a king could be forecast by observing the movements of a dog,100 just as we foretell the length of the winter by spying upon the groundhog.”</w:t>
      </w:r>
    </w:p>
    <w:p w14:paraId="36515BDC" w14:textId="77777777" w:rsidR="00887CA6" w:rsidRPr="003F09E4" w:rsidRDefault="00887CA6" w:rsidP="00887CA6">
      <w:pPr>
        <w:pStyle w:val="Body"/>
        <w:ind w:left="1440"/>
        <w:rPr>
          <w:rFonts w:ascii="Times New Roman" w:hAnsi="Times New Roman" w:cs="Times New Roman"/>
          <w:sz w:val="24"/>
          <w:szCs w:val="24"/>
        </w:rPr>
      </w:pPr>
    </w:p>
    <w:p w14:paraId="6310F643" w14:textId="77777777" w:rsidR="003F09E4" w:rsidRPr="003F09E4" w:rsidRDefault="005F064D" w:rsidP="003F09E4">
      <w:pPr>
        <w:pStyle w:val="Body"/>
        <w:numPr>
          <w:ilvl w:val="0"/>
          <w:numId w:val="1"/>
        </w:numPr>
      </w:pPr>
      <w:r w:rsidRPr="003F09E4">
        <w:rPr>
          <w:rFonts w:ascii="Times New Roman" w:hAnsi="Times New Roman" w:cs="Times New Roman"/>
          <w:b/>
          <w:bCs/>
        </w:rPr>
        <w:t>Babylonian Science</w:t>
      </w:r>
      <w:r w:rsidR="003F09E4">
        <w:rPr>
          <w:rFonts w:ascii="Times New Roman" w:hAnsi="Times New Roman" w:cs="Times New Roman"/>
          <w:sz w:val="24"/>
          <w:szCs w:val="24"/>
        </w:rPr>
        <w:t>—</w:t>
      </w:r>
    </w:p>
    <w:p w14:paraId="0F0D8EE4" w14:textId="54EBFFF1" w:rsidR="005F064D" w:rsidRPr="003F09E4" w:rsidRDefault="003F09E4" w:rsidP="003F09E4">
      <w:pPr>
        <w:pStyle w:val="Body"/>
        <w:numPr>
          <w:ilvl w:val="1"/>
          <w:numId w:val="1"/>
        </w:numPr>
      </w:pPr>
      <w:r>
        <w:rPr>
          <w:rFonts w:ascii="Times New Roman" w:hAnsi="Times New Roman" w:cs="Times New Roman"/>
          <w:sz w:val="24"/>
          <w:szCs w:val="24"/>
        </w:rPr>
        <w:t xml:space="preserve">Astronomy </w:t>
      </w:r>
    </w:p>
    <w:p w14:paraId="3139E43A" w14:textId="09A7E5EF" w:rsidR="003F09E4" w:rsidRPr="00887CA6" w:rsidRDefault="003F09E4" w:rsidP="003F09E4">
      <w:pPr>
        <w:pStyle w:val="Body"/>
        <w:numPr>
          <w:ilvl w:val="1"/>
          <w:numId w:val="1"/>
        </w:numPr>
      </w:pPr>
      <w:r>
        <w:rPr>
          <w:rFonts w:ascii="Times New Roman" w:hAnsi="Times New Roman" w:cs="Times New Roman"/>
          <w:sz w:val="24"/>
          <w:szCs w:val="24"/>
        </w:rPr>
        <w:t>The Calendar</w:t>
      </w:r>
    </w:p>
    <w:p w14:paraId="092CBC1F" w14:textId="77777777" w:rsidR="00887CA6" w:rsidRDefault="00887CA6" w:rsidP="00887CA6">
      <w:pPr>
        <w:pStyle w:val="Body"/>
        <w:ind w:left="1440"/>
      </w:pPr>
    </w:p>
    <w:p w14:paraId="0D4D6003" w14:textId="77777777" w:rsidR="003F09E4" w:rsidRDefault="005F064D" w:rsidP="005F064D">
      <w:pPr>
        <w:pStyle w:val="ListParagraph"/>
        <w:numPr>
          <w:ilvl w:val="0"/>
          <w:numId w:val="1"/>
        </w:numPr>
        <w:rPr>
          <w:b/>
          <w:bCs/>
        </w:rPr>
      </w:pPr>
      <w:r w:rsidRPr="009555D1">
        <w:rPr>
          <w:b/>
          <w:bCs/>
        </w:rPr>
        <w:t>God’s People in Babylon</w:t>
      </w:r>
    </w:p>
    <w:p w14:paraId="0D9CB5BB" w14:textId="77777777" w:rsidR="003F09E4" w:rsidRPr="003F09E4" w:rsidRDefault="005F064D" w:rsidP="003F09E4">
      <w:pPr>
        <w:pStyle w:val="ListParagraph"/>
        <w:numPr>
          <w:ilvl w:val="1"/>
          <w:numId w:val="1"/>
        </w:numPr>
        <w:rPr>
          <w:b/>
          <w:bCs/>
          <w:i/>
          <w:iCs/>
        </w:rPr>
      </w:pPr>
      <w:r w:rsidRPr="003F09E4">
        <w:rPr>
          <w:i/>
          <w:iCs/>
          <w:color w:val="FF0000"/>
        </w:rPr>
        <w:t>“Build ye houses, and dwell in them: and plant gardens, and eat the fruit of them… that ye may be increased there and not diminished. And seek the peace of the city whither I have caused you to be carried away captives” (Jer. 29:5-7).</w:t>
      </w:r>
      <w:r w:rsidR="003F09E4">
        <w:rPr>
          <w:i/>
          <w:iCs/>
          <w:color w:val="FF0000"/>
        </w:rPr>
        <w:t>”</w:t>
      </w:r>
    </w:p>
    <w:p w14:paraId="4D04551C" w14:textId="77777777" w:rsidR="003F09E4" w:rsidRPr="003F09E4" w:rsidRDefault="005F064D" w:rsidP="003F09E4">
      <w:pPr>
        <w:pStyle w:val="ListParagraph"/>
        <w:numPr>
          <w:ilvl w:val="1"/>
          <w:numId w:val="1"/>
        </w:numPr>
        <w:rPr>
          <w:b/>
          <w:bCs/>
          <w:i/>
          <w:iCs/>
        </w:rPr>
      </w:pPr>
      <w:r w:rsidRPr="003F09E4">
        <w:rPr>
          <w:rFonts w:ascii="Calibri" w:hAnsi="Calibri" w:cs="Calibri"/>
        </w:rPr>
        <w:t xml:space="preserve">In Babylon, the exilic and postexilic Jewish community developed its own character and left a legacy still felt today. </w:t>
      </w:r>
    </w:p>
    <w:p w14:paraId="0A1D5D8C" w14:textId="77777777" w:rsidR="003F09E4" w:rsidRPr="003F09E4" w:rsidRDefault="005F064D" w:rsidP="003F09E4">
      <w:pPr>
        <w:pStyle w:val="ListParagraph"/>
        <w:numPr>
          <w:ilvl w:val="1"/>
          <w:numId w:val="1"/>
        </w:numPr>
        <w:rPr>
          <w:b/>
          <w:bCs/>
          <w:i/>
          <w:iCs/>
        </w:rPr>
      </w:pPr>
      <w:r w:rsidRPr="003F09E4">
        <w:rPr>
          <w:rFonts w:ascii="Calibri" w:hAnsi="Calibri" w:cs="Calibri"/>
        </w:rPr>
        <w:t xml:space="preserve">The prophetic writings in the Bible, heavily concerned with the exilic experience, naturally present several viewpoints about Babylon. </w:t>
      </w:r>
    </w:p>
    <w:p w14:paraId="739BA5B8" w14:textId="77777777" w:rsidR="003F09E4" w:rsidRPr="003F09E4" w:rsidRDefault="003F09E4" w:rsidP="003F09E4">
      <w:pPr>
        <w:pStyle w:val="ListParagraph"/>
        <w:numPr>
          <w:ilvl w:val="2"/>
          <w:numId w:val="1"/>
        </w:numPr>
        <w:rPr>
          <w:b/>
          <w:bCs/>
          <w:i/>
          <w:iCs/>
        </w:rPr>
      </w:pPr>
      <w:r>
        <w:rPr>
          <w:rFonts w:ascii="Calibri" w:hAnsi="Calibri" w:cs="Calibri"/>
        </w:rPr>
        <w:t>I</w:t>
      </w:r>
      <w:r w:rsidR="005F064D" w:rsidRPr="003F09E4">
        <w:rPr>
          <w:rFonts w:ascii="Calibri" w:hAnsi="Calibri" w:cs="Calibri"/>
        </w:rPr>
        <w:t xml:space="preserve">nstrument of divine judgment against Judah. </w:t>
      </w:r>
    </w:p>
    <w:p w14:paraId="522DFDB7" w14:textId="77777777" w:rsidR="003F09E4" w:rsidRDefault="005F064D" w:rsidP="003F09E4">
      <w:pPr>
        <w:pStyle w:val="ListParagraph"/>
        <w:numPr>
          <w:ilvl w:val="2"/>
          <w:numId w:val="1"/>
        </w:numPr>
        <w:rPr>
          <w:rFonts w:ascii="Calibri" w:hAnsi="Calibri" w:cs="Calibri"/>
        </w:rPr>
      </w:pPr>
      <w:r w:rsidRPr="003F09E4">
        <w:rPr>
          <w:rFonts w:ascii="Calibri" w:hAnsi="Calibri" w:cs="Calibri"/>
        </w:rPr>
        <w:t xml:space="preserve">Babylon itself is brought for judgment in Jer. 51:59–64. </w:t>
      </w:r>
    </w:p>
    <w:p w14:paraId="71AE6DC0" w14:textId="77777777" w:rsidR="003F09E4" w:rsidRDefault="003F09E4" w:rsidP="005F064D">
      <w:pPr>
        <w:pStyle w:val="ListParagraph"/>
        <w:numPr>
          <w:ilvl w:val="2"/>
          <w:numId w:val="1"/>
        </w:numPr>
        <w:autoSpaceDE w:val="0"/>
        <w:autoSpaceDN w:val="0"/>
        <w:adjustRightInd w:val="0"/>
        <w:ind w:firstLine="360"/>
        <w:rPr>
          <w:rFonts w:ascii="Calibri" w:hAnsi="Calibri" w:cs="Calibri"/>
        </w:rPr>
      </w:pPr>
      <w:r w:rsidRPr="003F09E4">
        <w:rPr>
          <w:rFonts w:ascii="Calibri" w:hAnsi="Calibri" w:cs="Calibri"/>
        </w:rPr>
        <w:t>I</w:t>
      </w:r>
      <w:r w:rsidR="005F064D" w:rsidRPr="003F09E4">
        <w:rPr>
          <w:rFonts w:ascii="Calibri" w:hAnsi="Calibri" w:cs="Calibri"/>
        </w:rPr>
        <w:t xml:space="preserve">n Babylon during the subsequent centuries that many of the legal and religious institutions of Judaism developed. </w:t>
      </w:r>
    </w:p>
    <w:p w14:paraId="3C57F493" w14:textId="4585C2D3" w:rsidR="005F064D" w:rsidRPr="00887CA6" w:rsidRDefault="005F064D" w:rsidP="003F09E4">
      <w:pPr>
        <w:pStyle w:val="ListParagraph"/>
        <w:numPr>
          <w:ilvl w:val="2"/>
          <w:numId w:val="1"/>
        </w:numPr>
        <w:autoSpaceDE w:val="0"/>
        <w:autoSpaceDN w:val="0"/>
        <w:adjustRightInd w:val="0"/>
        <w:ind w:firstLine="360"/>
        <w:rPr>
          <w:b/>
          <w:bCs/>
        </w:rPr>
      </w:pPr>
      <w:r w:rsidRPr="003F09E4">
        <w:rPr>
          <w:rFonts w:ascii="Calibri" w:hAnsi="Calibri" w:cs="Calibri"/>
        </w:rPr>
        <w:t xml:space="preserve">The Babylonian Talmud </w:t>
      </w:r>
    </w:p>
    <w:p w14:paraId="378FE83A" w14:textId="6ED1B2C6" w:rsidR="00887CA6" w:rsidRDefault="00887CA6" w:rsidP="00887CA6">
      <w:pPr>
        <w:pStyle w:val="ListParagraph"/>
        <w:autoSpaceDE w:val="0"/>
        <w:autoSpaceDN w:val="0"/>
        <w:adjustRightInd w:val="0"/>
        <w:ind w:left="1440"/>
        <w:rPr>
          <w:rFonts w:ascii="Calibri" w:hAnsi="Calibri" w:cs="Calibri"/>
        </w:rPr>
      </w:pPr>
    </w:p>
    <w:p w14:paraId="5B80EBEC" w14:textId="77E88F7E" w:rsidR="005F064D" w:rsidRPr="003F09E4" w:rsidRDefault="005F064D" w:rsidP="005F064D">
      <w:pPr>
        <w:pStyle w:val="ListParagraph"/>
        <w:numPr>
          <w:ilvl w:val="1"/>
          <w:numId w:val="1"/>
        </w:numPr>
        <w:rPr>
          <w:b/>
          <w:bCs/>
        </w:rPr>
      </w:pPr>
      <w:r w:rsidRPr="009555D1">
        <w:rPr>
          <w:b/>
          <w:bCs/>
        </w:rPr>
        <w:t>The Fall of Babylon</w:t>
      </w:r>
      <w:r w:rsidR="003F09E4">
        <w:rPr>
          <w:b/>
          <w:bCs/>
        </w:rPr>
        <w:t xml:space="preserve"> (</w:t>
      </w:r>
      <w:r>
        <w:t>562 B.C.</w:t>
      </w:r>
      <w:r w:rsidR="003F09E4">
        <w:t>)</w:t>
      </w:r>
    </w:p>
    <w:p w14:paraId="63D97DCC" w14:textId="2286B9B4" w:rsidR="005F064D" w:rsidRPr="003F09E4" w:rsidRDefault="005041C7" w:rsidP="005F064D">
      <w:pPr>
        <w:rPr>
          <w:b/>
          <w:bCs/>
          <w:sz w:val="28"/>
          <w:szCs w:val="28"/>
          <w:u w:val="single"/>
        </w:rPr>
      </w:pPr>
      <w:r w:rsidRPr="003F09E4">
        <w:rPr>
          <w:b/>
          <w:bCs/>
          <w:sz w:val="28"/>
          <w:szCs w:val="28"/>
          <w:u w:val="single"/>
        </w:rPr>
        <w:t>PERSIA</w:t>
      </w:r>
    </w:p>
    <w:p w14:paraId="6526A3A6" w14:textId="77777777" w:rsidR="003F09E4" w:rsidRPr="00775800" w:rsidRDefault="003F09E4" w:rsidP="005F064D">
      <w:pPr>
        <w:rPr>
          <w:b/>
          <w:bCs/>
        </w:rPr>
      </w:pPr>
    </w:p>
    <w:p w14:paraId="52EBC08C" w14:textId="77777777" w:rsidR="005041C7" w:rsidRDefault="005F064D" w:rsidP="005041C7">
      <w:pPr>
        <w:pStyle w:val="ListParagraph"/>
        <w:numPr>
          <w:ilvl w:val="0"/>
          <w:numId w:val="1"/>
        </w:numPr>
        <w:rPr>
          <w:b/>
          <w:bCs/>
        </w:rPr>
      </w:pPr>
      <w:r w:rsidRPr="009555D1">
        <w:rPr>
          <w:b/>
          <w:bCs/>
        </w:rPr>
        <w:t xml:space="preserve">Who were the Persians? </w:t>
      </w:r>
    </w:p>
    <w:p w14:paraId="30489C44" w14:textId="77777777" w:rsidR="005041C7" w:rsidRPr="00FF1301" w:rsidRDefault="005F064D" w:rsidP="005F064D">
      <w:pPr>
        <w:pStyle w:val="ListParagraph"/>
        <w:numPr>
          <w:ilvl w:val="1"/>
          <w:numId w:val="1"/>
        </w:numPr>
      </w:pPr>
      <w:r w:rsidRPr="00FF1301">
        <w:t>Origins: The Medes and the Persian</w:t>
      </w:r>
    </w:p>
    <w:p w14:paraId="1F4889C9" w14:textId="77777777" w:rsidR="005041C7" w:rsidRPr="00FF1301" w:rsidRDefault="005F064D" w:rsidP="005F064D">
      <w:pPr>
        <w:pStyle w:val="ListParagraph"/>
        <w:numPr>
          <w:ilvl w:val="1"/>
          <w:numId w:val="1"/>
        </w:numPr>
      </w:pPr>
      <w:r w:rsidRPr="00FF1301">
        <w:t>The Descendants of Japheth</w:t>
      </w:r>
    </w:p>
    <w:p w14:paraId="52F89D4C" w14:textId="334C59EB" w:rsidR="005F064D" w:rsidRPr="005041C7" w:rsidRDefault="005F064D" w:rsidP="005041C7">
      <w:pPr>
        <w:pStyle w:val="ListParagraph"/>
        <w:numPr>
          <w:ilvl w:val="2"/>
          <w:numId w:val="1"/>
        </w:numPr>
        <w:rPr>
          <w:b/>
          <w:bCs/>
        </w:rPr>
      </w:pPr>
      <w:r>
        <w:t xml:space="preserve">Indo-European stock perhaps from South Russia; and its language and early religion reveal its close kinship with those </w:t>
      </w:r>
      <w:r w:rsidR="005041C7">
        <w:t>people</w:t>
      </w:r>
      <w:r>
        <w:t xml:space="preserve"> who crossed Afghanistan to become the </w:t>
      </w:r>
      <w:r w:rsidR="00887CA6">
        <w:t>ruling caste of northern India.</w:t>
      </w:r>
    </w:p>
    <w:p w14:paraId="696F5045" w14:textId="77777777" w:rsidR="005041C7" w:rsidRPr="005041C7" w:rsidRDefault="005041C7" w:rsidP="005F064D">
      <w:pPr>
        <w:pStyle w:val="ListParagraph"/>
        <w:numPr>
          <w:ilvl w:val="2"/>
          <w:numId w:val="1"/>
        </w:numPr>
        <w:rPr>
          <w:b/>
          <w:bCs/>
        </w:rPr>
      </w:pPr>
      <w:r>
        <w:t>The ancient Persians spoke of a primitive homeland known as Airyana-vaejo—</w:t>
      </w:r>
      <w:r w:rsidRPr="005041C7">
        <w:rPr>
          <w:i/>
          <w:iCs/>
        </w:rPr>
        <w:t>Aryan</w:t>
      </w:r>
    </w:p>
    <w:p w14:paraId="6AD133E1" w14:textId="5C27B989" w:rsidR="005041C7" w:rsidRPr="00887CA6" w:rsidRDefault="005F064D" w:rsidP="005041C7">
      <w:pPr>
        <w:pStyle w:val="ListParagraph"/>
        <w:numPr>
          <w:ilvl w:val="2"/>
          <w:numId w:val="1"/>
        </w:numPr>
        <w:rPr>
          <w:b/>
          <w:bCs/>
        </w:rPr>
      </w:pPr>
      <w:r w:rsidRPr="005041C7">
        <w:rPr>
          <w:i/>
          <w:iCs/>
        </w:rPr>
        <w:t>Ariana</w:t>
      </w:r>
      <w:r w:rsidR="005041C7">
        <w:t>=Iran</w:t>
      </w:r>
      <w:r>
        <w:t xml:space="preserve"> to what is now called by es</w:t>
      </w:r>
      <w:r w:rsidR="00887CA6">
        <w:t>sentially the same word—Iran. 18</w:t>
      </w:r>
    </w:p>
    <w:p w14:paraId="7B059568" w14:textId="21E3DD23" w:rsidR="00887CA6" w:rsidRPr="005041C7" w:rsidRDefault="00887CA6" w:rsidP="00887CA6">
      <w:pPr>
        <w:pStyle w:val="ListParagraph"/>
        <w:ind w:left="1440"/>
        <w:rPr>
          <w:b/>
          <w:bCs/>
        </w:rPr>
      </w:pPr>
    </w:p>
    <w:p w14:paraId="261967DE" w14:textId="77777777" w:rsidR="00385FBA" w:rsidRDefault="005F064D" w:rsidP="005F064D">
      <w:pPr>
        <w:pStyle w:val="ListParagraph"/>
        <w:numPr>
          <w:ilvl w:val="0"/>
          <w:numId w:val="1"/>
        </w:numPr>
        <w:rPr>
          <w:b/>
          <w:bCs/>
        </w:rPr>
      </w:pPr>
      <w:r w:rsidRPr="005041C7">
        <w:rPr>
          <w:b/>
          <w:bCs/>
        </w:rPr>
        <w:t>Kings</w:t>
      </w:r>
      <w:r w:rsidR="005041C7">
        <w:rPr>
          <w:b/>
          <w:bCs/>
        </w:rPr>
        <w:t xml:space="preserve">: </w:t>
      </w:r>
    </w:p>
    <w:p w14:paraId="5880C132" w14:textId="5FB461D1" w:rsidR="005F064D" w:rsidRPr="005041C7" w:rsidRDefault="005F064D" w:rsidP="00385FBA">
      <w:pPr>
        <w:pStyle w:val="ListParagraph"/>
        <w:numPr>
          <w:ilvl w:val="1"/>
          <w:numId w:val="1"/>
        </w:numPr>
        <w:rPr>
          <w:b/>
          <w:bCs/>
        </w:rPr>
      </w:pPr>
      <w:r w:rsidRPr="0019659F">
        <w:t xml:space="preserve">The rulers of the Empire were: </w:t>
      </w:r>
    </w:p>
    <w:p w14:paraId="5E80863C" w14:textId="77777777" w:rsidR="005F064D" w:rsidRDefault="005F064D" w:rsidP="00385FBA">
      <w:pPr>
        <w:pStyle w:val="ListParagraph"/>
        <w:numPr>
          <w:ilvl w:val="2"/>
          <w:numId w:val="1"/>
        </w:numPr>
      </w:pPr>
      <w:r w:rsidRPr="0019659F">
        <w:t xml:space="preserve">Cyrus (king of Anshan ca. 560 b.c., d. 530); </w:t>
      </w:r>
    </w:p>
    <w:p w14:paraId="03AA9B4B" w14:textId="77777777" w:rsidR="005F064D" w:rsidRDefault="005F064D" w:rsidP="00385FBA">
      <w:pPr>
        <w:pStyle w:val="ListParagraph"/>
        <w:numPr>
          <w:ilvl w:val="2"/>
          <w:numId w:val="1"/>
        </w:numPr>
      </w:pPr>
      <w:r w:rsidRPr="0019659F">
        <w:t xml:space="preserve">Cambyses (530-522); </w:t>
      </w:r>
    </w:p>
    <w:p w14:paraId="43144A83" w14:textId="77777777" w:rsidR="005F064D" w:rsidRDefault="005F064D" w:rsidP="00385FBA">
      <w:pPr>
        <w:pStyle w:val="ListParagraph"/>
        <w:numPr>
          <w:ilvl w:val="2"/>
          <w:numId w:val="1"/>
        </w:numPr>
      </w:pPr>
      <w:r w:rsidRPr="0019659F">
        <w:t xml:space="preserve">Darius I (522-486); </w:t>
      </w:r>
    </w:p>
    <w:p w14:paraId="7C7B5B41" w14:textId="77777777" w:rsidR="005F064D" w:rsidRDefault="005F064D" w:rsidP="00385FBA">
      <w:pPr>
        <w:pStyle w:val="ListParagraph"/>
        <w:numPr>
          <w:ilvl w:val="2"/>
          <w:numId w:val="1"/>
        </w:numPr>
      </w:pPr>
      <w:r w:rsidRPr="0019659F">
        <w:t xml:space="preserve">Xerxes I (486-465); </w:t>
      </w:r>
    </w:p>
    <w:p w14:paraId="2368BA63" w14:textId="77777777" w:rsidR="005F064D" w:rsidRDefault="005F064D" w:rsidP="00385FBA">
      <w:pPr>
        <w:pStyle w:val="ListParagraph"/>
        <w:numPr>
          <w:ilvl w:val="2"/>
          <w:numId w:val="1"/>
        </w:numPr>
      </w:pPr>
      <w:r w:rsidRPr="005041C7">
        <w:rPr>
          <w:highlight w:val="yellow"/>
        </w:rPr>
        <w:t>Artaxerxes I</w:t>
      </w:r>
      <w:r w:rsidRPr="0019659F">
        <w:t xml:space="preserve"> (465-424); </w:t>
      </w:r>
    </w:p>
    <w:p w14:paraId="03C31F7E" w14:textId="77777777" w:rsidR="005F064D" w:rsidRDefault="005F064D" w:rsidP="00385FBA">
      <w:pPr>
        <w:pStyle w:val="ListParagraph"/>
        <w:numPr>
          <w:ilvl w:val="2"/>
          <w:numId w:val="1"/>
        </w:numPr>
      </w:pPr>
      <w:r w:rsidRPr="0019659F">
        <w:t xml:space="preserve">Xerxes II (424); </w:t>
      </w:r>
    </w:p>
    <w:p w14:paraId="6F9BC8BD" w14:textId="77777777" w:rsidR="005F064D" w:rsidRDefault="005F064D" w:rsidP="00385FBA">
      <w:pPr>
        <w:pStyle w:val="ListParagraph"/>
        <w:numPr>
          <w:ilvl w:val="2"/>
          <w:numId w:val="1"/>
        </w:numPr>
      </w:pPr>
      <w:r w:rsidRPr="0019659F">
        <w:t xml:space="preserve">Sogdianos (424-423); </w:t>
      </w:r>
    </w:p>
    <w:p w14:paraId="4670DBB1" w14:textId="77777777" w:rsidR="005F064D" w:rsidRDefault="005F064D" w:rsidP="00385FBA">
      <w:pPr>
        <w:pStyle w:val="ListParagraph"/>
        <w:numPr>
          <w:ilvl w:val="2"/>
          <w:numId w:val="1"/>
        </w:numPr>
      </w:pPr>
      <w:r w:rsidRPr="0019659F">
        <w:t xml:space="preserve">Darius II (423-405/4); </w:t>
      </w:r>
    </w:p>
    <w:p w14:paraId="72A8F7D4" w14:textId="77777777" w:rsidR="005F064D" w:rsidRDefault="005F064D" w:rsidP="00385FBA">
      <w:pPr>
        <w:pStyle w:val="ListParagraph"/>
        <w:numPr>
          <w:ilvl w:val="2"/>
          <w:numId w:val="1"/>
        </w:numPr>
      </w:pPr>
      <w:r w:rsidRPr="0019659F">
        <w:t xml:space="preserve">Artaxerxes II (405/4-359/8); </w:t>
      </w:r>
    </w:p>
    <w:p w14:paraId="57387ABF" w14:textId="77777777" w:rsidR="005F064D" w:rsidRDefault="005F064D" w:rsidP="00385FBA">
      <w:pPr>
        <w:pStyle w:val="ListParagraph"/>
        <w:numPr>
          <w:ilvl w:val="2"/>
          <w:numId w:val="1"/>
        </w:numPr>
      </w:pPr>
      <w:r w:rsidRPr="0019659F">
        <w:t xml:space="preserve">Artaxerxes III (359/58-338/37); </w:t>
      </w:r>
    </w:p>
    <w:p w14:paraId="2CC9DF9C" w14:textId="77777777" w:rsidR="005F064D" w:rsidRDefault="005F064D" w:rsidP="00385FBA">
      <w:pPr>
        <w:pStyle w:val="ListParagraph"/>
        <w:numPr>
          <w:ilvl w:val="2"/>
          <w:numId w:val="1"/>
        </w:numPr>
      </w:pPr>
      <w:r w:rsidRPr="0019659F">
        <w:t xml:space="preserve">Artaxerxes IV (338/37-336); </w:t>
      </w:r>
    </w:p>
    <w:p w14:paraId="418A899B" w14:textId="77777777" w:rsidR="005041C7" w:rsidRDefault="005F064D" w:rsidP="00385FBA">
      <w:pPr>
        <w:pStyle w:val="ListParagraph"/>
        <w:numPr>
          <w:ilvl w:val="2"/>
          <w:numId w:val="1"/>
        </w:numPr>
      </w:pPr>
      <w:r w:rsidRPr="0019659F">
        <w:t xml:space="preserve">and Darius III (336-330). </w:t>
      </w:r>
    </w:p>
    <w:p w14:paraId="74CC7B13" w14:textId="77777777" w:rsidR="005041C7" w:rsidRDefault="005F064D" w:rsidP="00385FBA">
      <w:pPr>
        <w:pStyle w:val="ListParagraph"/>
        <w:numPr>
          <w:ilvl w:val="1"/>
          <w:numId w:val="1"/>
        </w:numPr>
      </w:pPr>
      <w:r w:rsidRPr="005041C7">
        <w:rPr>
          <w:b/>
          <w:bCs/>
        </w:rPr>
        <w:t>Cyrus</w:t>
      </w:r>
      <w:r w:rsidR="005041C7">
        <w:rPr>
          <w:b/>
          <w:bCs/>
        </w:rPr>
        <w:t xml:space="preserve"> (</w:t>
      </w:r>
      <w:r w:rsidR="005041C7" w:rsidRPr="0019659F">
        <w:t>ca. 560 b.c., d. 530)</w:t>
      </w:r>
    </w:p>
    <w:p w14:paraId="10251830" w14:textId="77777777" w:rsidR="005041C7" w:rsidRDefault="005F064D" w:rsidP="00385FBA">
      <w:pPr>
        <w:pStyle w:val="ListParagraph"/>
        <w:numPr>
          <w:ilvl w:val="2"/>
          <w:numId w:val="1"/>
        </w:numPr>
      </w:pPr>
      <w:r>
        <w:t>“The Bible remembers him as an enlightened monarch. His unparalleled, swift and brilliant rise to power was marred by no deed of violence. His able and humane policy made him one of the most attractive figures in the ancient orient.</w:t>
      </w:r>
    </w:p>
    <w:p w14:paraId="44AC79CE" w14:textId="77777777" w:rsidR="00385FBA" w:rsidRDefault="005041C7" w:rsidP="00385FBA">
      <w:pPr>
        <w:pStyle w:val="ListParagraph"/>
        <w:numPr>
          <w:ilvl w:val="2"/>
          <w:numId w:val="1"/>
        </w:numPr>
      </w:pPr>
      <w:r>
        <w:t>F</w:t>
      </w:r>
      <w:r w:rsidRPr="0019659F">
        <w:t>ounder of the Achaemenid dynasty (ruled Babylonia 539-530 b.c.)</w:t>
      </w:r>
    </w:p>
    <w:p w14:paraId="299914F3" w14:textId="77777777" w:rsidR="00385FBA" w:rsidRDefault="005041C7" w:rsidP="00385FBA">
      <w:pPr>
        <w:pStyle w:val="ListParagraph"/>
        <w:numPr>
          <w:ilvl w:val="2"/>
          <w:numId w:val="1"/>
        </w:numPr>
      </w:pPr>
      <w:r w:rsidRPr="0019659F">
        <w:t>Cyrus’s military victories eventually put him in possession of the largest empire the world at that time had yet seen. They began with the conquest of Media (549), followed by Lydia (546) and Babylonia (539). It would seem that the Babylonian provinces of Eber nāri (today’s Syria, Lebanon, and Israel) fell to him after the conquest of Babylonia, although no specific mention of them is extant in contemporary records.</w:t>
      </w:r>
    </w:p>
    <w:p w14:paraId="2A4D0FED" w14:textId="6968BC08" w:rsidR="00385FBA" w:rsidRDefault="005041C7" w:rsidP="00385FBA">
      <w:pPr>
        <w:pStyle w:val="ListParagraph"/>
        <w:numPr>
          <w:ilvl w:val="2"/>
          <w:numId w:val="1"/>
        </w:numPr>
      </w:pPr>
      <w:r w:rsidRPr="0019659F">
        <w:t xml:space="preserve">Cyrus’s policy toward the peoples of his empire was one of tolerance and understanding. His authorization of the rebuilding of the Jerusalem Temple by returning Judeans (end of 2 Chronicles; beginning of Ezra) accords well with what we know from contemporaneous documents. </w:t>
      </w:r>
    </w:p>
    <w:p w14:paraId="34C115E6" w14:textId="0CECE49B" w:rsidR="00385FBA" w:rsidRDefault="005F064D" w:rsidP="005F064D">
      <w:pPr>
        <w:pStyle w:val="ListParagraph"/>
        <w:numPr>
          <w:ilvl w:val="2"/>
          <w:numId w:val="1"/>
        </w:numPr>
      </w:pPr>
      <w:r>
        <w:t>Cyrus was followed by his son Cambyses II (530-522 B.C.). With the conquest of Egypt Persia became under him the greatest empire that the world had ever seen: it stretched from India to the Nile.</w:t>
      </w:r>
    </w:p>
    <w:p w14:paraId="770AD710" w14:textId="77777777" w:rsidR="00887CA6" w:rsidRDefault="00887CA6" w:rsidP="00887CA6">
      <w:pPr>
        <w:pStyle w:val="ListParagraph"/>
        <w:ind w:left="2160"/>
      </w:pPr>
    </w:p>
    <w:p w14:paraId="31E4313C" w14:textId="77777777" w:rsidR="00385FBA" w:rsidRPr="00385FBA" w:rsidRDefault="005F064D" w:rsidP="005F064D">
      <w:pPr>
        <w:pStyle w:val="ListParagraph"/>
        <w:numPr>
          <w:ilvl w:val="1"/>
          <w:numId w:val="1"/>
        </w:numPr>
      </w:pPr>
      <w:r w:rsidRPr="00385FBA">
        <w:rPr>
          <w:b/>
          <w:bCs/>
        </w:rPr>
        <w:t>Darius</w:t>
      </w:r>
    </w:p>
    <w:p w14:paraId="1F96A9E2" w14:textId="6E5EEEED" w:rsidR="00385FBA" w:rsidRDefault="00385FBA" w:rsidP="005F064D">
      <w:pPr>
        <w:pStyle w:val="ListParagraph"/>
        <w:numPr>
          <w:ilvl w:val="2"/>
          <w:numId w:val="1"/>
        </w:numPr>
      </w:pPr>
      <w:r w:rsidRPr="00385FBA">
        <w:rPr>
          <w:b/>
          <w:bCs/>
        </w:rPr>
        <w:t xml:space="preserve">Became </w:t>
      </w:r>
      <w:r w:rsidR="005F064D">
        <w:t>one of the wisest administrators in history, and set himself to re</w:t>
      </w:r>
      <w:r w:rsidR="00887CA6">
        <w:t>e</w:t>
      </w:r>
      <w:r w:rsidR="005F064D">
        <w:t xml:space="preserve">stablish his realm in a way that became a model of imperial organization till the fall of Rome. </w:t>
      </w:r>
    </w:p>
    <w:p w14:paraId="0090626A" w14:textId="77777777" w:rsidR="00887CA6" w:rsidRDefault="005F064D" w:rsidP="005F064D">
      <w:pPr>
        <w:pStyle w:val="ListParagraph"/>
        <w:numPr>
          <w:ilvl w:val="2"/>
          <w:numId w:val="1"/>
        </w:numPr>
      </w:pPr>
      <w:r>
        <w:t>At its greatest extent, under Darius, the Persian Empire included twenty provinces or “satrapies,” embracing Egypt, Palestine, Syria, Phoenicia, Lydia, Phrygia, Ionia, Cappadocia, Cilicia, Armenia, Assyria, the Caucasus, Babylonia, Media, Persia, the modern Afghanistan and Baluchistan, India west of the Indus, Sogdiana, Bactria, and the regions of the Massagetæ and other central Asiatic tribes.</w:t>
      </w:r>
    </w:p>
    <w:p w14:paraId="0DF174C6" w14:textId="7E3634B1" w:rsidR="00385FBA" w:rsidRDefault="005F064D" w:rsidP="00887CA6">
      <w:pPr>
        <w:pStyle w:val="ListParagraph"/>
        <w:ind w:left="2160"/>
      </w:pPr>
      <w:r>
        <w:t xml:space="preserve"> </w:t>
      </w:r>
    </w:p>
    <w:p w14:paraId="7935F371" w14:textId="5EC2091E" w:rsidR="00385FBA" w:rsidRPr="00887CA6" w:rsidRDefault="005F064D" w:rsidP="00385FBA">
      <w:pPr>
        <w:pStyle w:val="ListParagraph"/>
        <w:numPr>
          <w:ilvl w:val="0"/>
          <w:numId w:val="1"/>
        </w:numPr>
      </w:pPr>
      <w:r w:rsidRPr="00385FBA">
        <w:rPr>
          <w:b/>
          <w:bCs/>
        </w:rPr>
        <w:t>Life in Persia</w:t>
      </w:r>
    </w:p>
    <w:p w14:paraId="54E4B304" w14:textId="77777777" w:rsidR="00887CA6" w:rsidRPr="00385FBA" w:rsidRDefault="00887CA6" w:rsidP="00887CA6">
      <w:pPr>
        <w:pStyle w:val="ListParagraph"/>
        <w:ind w:left="1080"/>
      </w:pPr>
    </w:p>
    <w:p w14:paraId="6A64300F" w14:textId="7719C0B2" w:rsidR="005F064D" w:rsidRPr="00385FBA" w:rsidRDefault="005F064D" w:rsidP="00385FBA">
      <w:pPr>
        <w:pStyle w:val="ListParagraph"/>
        <w:numPr>
          <w:ilvl w:val="0"/>
          <w:numId w:val="1"/>
        </w:numPr>
      </w:pPr>
      <w:r w:rsidRPr="00385FBA">
        <w:rPr>
          <w:b/>
          <w:bCs/>
        </w:rPr>
        <w:t>The Religion of Persia</w:t>
      </w:r>
    </w:p>
    <w:p w14:paraId="5A7247CD" w14:textId="39E73E78" w:rsidR="00385FBA" w:rsidRPr="00FF1301" w:rsidRDefault="00385FBA" w:rsidP="005F064D">
      <w:pPr>
        <w:pStyle w:val="ListParagraph"/>
        <w:numPr>
          <w:ilvl w:val="1"/>
          <w:numId w:val="1"/>
        </w:numPr>
      </w:pPr>
      <w:r w:rsidRPr="00FF1301">
        <w:t>Originally polytheistic pagan until the advent of the Prophet Zoroaster (Zarthusra) c.600 BC.</w:t>
      </w:r>
    </w:p>
    <w:p w14:paraId="3A9B8F3A" w14:textId="77777777" w:rsidR="00385FBA" w:rsidRPr="00FF1301" w:rsidRDefault="00385FBA" w:rsidP="005F064D">
      <w:pPr>
        <w:pStyle w:val="ListParagraph"/>
        <w:numPr>
          <w:ilvl w:val="1"/>
          <w:numId w:val="1"/>
        </w:numPr>
      </w:pPr>
      <w:r w:rsidRPr="00FF1301">
        <w:t>Principle Deities</w:t>
      </w:r>
    </w:p>
    <w:p w14:paraId="2E265AAA" w14:textId="7CD26C00" w:rsidR="00385FBA" w:rsidRDefault="005F064D" w:rsidP="00385FBA">
      <w:pPr>
        <w:pStyle w:val="ListParagraph"/>
        <w:numPr>
          <w:ilvl w:val="2"/>
          <w:numId w:val="1"/>
        </w:numPr>
      </w:pPr>
      <w:r w:rsidRPr="00385FBA">
        <w:rPr>
          <w:i/>
          <w:iCs/>
        </w:rPr>
        <w:t>Ahura-Mazda.</w:t>
      </w:r>
      <w:r w:rsidRPr="00EA5C91">
        <w:t xml:space="preserve"> Belief in divine beings, </w:t>
      </w:r>
      <w:r w:rsidRPr="00385FBA">
        <w:rPr>
          <w:i/>
        </w:rPr>
        <w:t>Ahuras,</w:t>
      </w:r>
      <w:r w:rsidRPr="00EA5C91">
        <w:t xml:space="preserve"> was probably part of the older Aryan religion. Zoroaster appears in a new personal relationship to Ahura-Mazda, whom Zoroaster may have seen as the personification of all of the other divine qualities.</w:t>
      </w:r>
      <w:r w:rsidRPr="00EA5C91">
        <w:rPr>
          <w:vertAlign w:val="superscript"/>
        </w:rPr>
        <w:footnoteReference w:id="3"/>
      </w:r>
    </w:p>
    <w:p w14:paraId="66E2D37D" w14:textId="402A8F89" w:rsidR="00385FBA" w:rsidRDefault="00385FBA" w:rsidP="00385FBA">
      <w:pPr>
        <w:pStyle w:val="ListParagraph"/>
        <w:numPr>
          <w:ilvl w:val="2"/>
          <w:numId w:val="1"/>
        </w:numPr>
      </w:pPr>
      <w:r w:rsidRPr="00385FBA">
        <w:rPr>
          <w:i/>
          <w:iCs/>
        </w:rPr>
        <w:t>Angro-Mainyus</w:t>
      </w:r>
      <w:r>
        <w:t xml:space="preserve"> or </w:t>
      </w:r>
      <w:r w:rsidRPr="00385FBA">
        <w:rPr>
          <w:i/>
          <w:iCs/>
        </w:rPr>
        <w:t>Ahriman</w:t>
      </w:r>
      <w:r>
        <w:t>, Prince of Darkness and ruler of the nether world</w:t>
      </w:r>
      <w:r w:rsidR="00887CA6">
        <w:t>.</w:t>
      </w:r>
    </w:p>
    <w:p w14:paraId="4A56D94A" w14:textId="77777777" w:rsidR="00FF1301" w:rsidRDefault="00FF1301" w:rsidP="00FF1301">
      <w:pPr>
        <w:pStyle w:val="ListParagraph"/>
        <w:numPr>
          <w:ilvl w:val="1"/>
          <w:numId w:val="1"/>
        </w:numPr>
      </w:pPr>
      <w:r>
        <w:t>Zoroastrianism</w:t>
      </w:r>
    </w:p>
    <w:p w14:paraId="165B5D42" w14:textId="4A5C19CE" w:rsidR="00385FBA" w:rsidRDefault="005F064D" w:rsidP="00FF1301">
      <w:pPr>
        <w:pStyle w:val="ListParagraph"/>
        <w:numPr>
          <w:ilvl w:val="2"/>
          <w:numId w:val="1"/>
        </w:numPr>
      </w:pPr>
      <w:r w:rsidRPr="00EA5C91">
        <w:t>According to Zoroaster, the history of the world was divided into three ages of three thousand years each. The first was the golden age of Ahura-Mazda. The second was a period of warfare with evil that ended with the coming of Zoroaster. The prophet brought a new force enabling humans to participate in separating truth from falsehood. The final period would extend until the renovation of the world.</w:t>
      </w:r>
    </w:p>
    <w:p w14:paraId="22F54CFE" w14:textId="4C96B2B1" w:rsidR="00385FBA" w:rsidRDefault="00385FBA" w:rsidP="00FF1301">
      <w:pPr>
        <w:pStyle w:val="ListParagraph"/>
        <w:numPr>
          <w:ilvl w:val="2"/>
          <w:numId w:val="1"/>
        </w:numPr>
      </w:pPr>
      <w:r>
        <w:t>“By picturing the world as the scene of a struggle between good and evil, the Zoroastrians established in the popular imagination a powerful supernatural stimulus and sanction for morals. The soul of man, like the universe, was represented as a battleground of beneficent and maleficent spirits; every man was a warrior, whether he liked it or not, in the army of either the Lord or the Devil; every act or omission advanced the cause of Ahura-Mazda or of Ahriman.” (William Durant)</w:t>
      </w:r>
    </w:p>
    <w:p w14:paraId="2A38D524" w14:textId="2D28FD9C" w:rsidR="00FF1301" w:rsidRDefault="005F064D" w:rsidP="00FF1301">
      <w:pPr>
        <w:pStyle w:val="ListParagraph"/>
        <w:numPr>
          <w:ilvl w:val="2"/>
          <w:numId w:val="1"/>
        </w:numPr>
      </w:pPr>
      <w:r w:rsidRPr="00EA5C91">
        <w:t>Some elements of this belief appear to have influenced the development of angelology, dualism, belief in an evil power, Satan, and a periodized story of the world that we find in the Judaism of the Greco-Roman period, especially in apocryphal writings such as Daniel.</w:t>
      </w:r>
      <w:r w:rsidRPr="00EA5C91">
        <w:rPr>
          <w:vertAlign w:val="superscript"/>
        </w:rPr>
        <w:footnoteReference w:id="4"/>
      </w:r>
    </w:p>
    <w:p w14:paraId="18960325" w14:textId="77777777" w:rsidR="00887CA6" w:rsidRDefault="00887CA6" w:rsidP="00887CA6">
      <w:pPr>
        <w:ind w:left="1980"/>
      </w:pPr>
    </w:p>
    <w:p w14:paraId="6389DFC2" w14:textId="57FAE994" w:rsidR="00FF1301" w:rsidRDefault="00FF1301" w:rsidP="00FF1301">
      <w:pPr>
        <w:pStyle w:val="ListParagraph"/>
        <w:numPr>
          <w:ilvl w:val="1"/>
          <w:numId w:val="1"/>
        </w:numPr>
      </w:pPr>
      <w:r>
        <w:t>The Magi</w:t>
      </w:r>
    </w:p>
    <w:p w14:paraId="55691958" w14:textId="67E44C15" w:rsidR="00FF1301" w:rsidRDefault="005F064D" w:rsidP="005F064D">
      <w:pPr>
        <w:pStyle w:val="ListParagraph"/>
        <w:numPr>
          <w:ilvl w:val="2"/>
          <w:numId w:val="1"/>
        </w:numPr>
      </w:pPr>
      <w:r>
        <w:t>“Wise Men</w:t>
      </w:r>
      <w:r w:rsidR="00887CA6">
        <w:t>.</w:t>
      </w:r>
      <w:r>
        <w:t xml:space="preserve">” </w:t>
      </w:r>
    </w:p>
    <w:p w14:paraId="17A34722" w14:textId="7EB0FD8C" w:rsidR="005F064D" w:rsidRDefault="00FF1301" w:rsidP="005F064D">
      <w:pPr>
        <w:pStyle w:val="ListParagraph"/>
        <w:numPr>
          <w:ilvl w:val="2"/>
          <w:numId w:val="1"/>
        </w:numPr>
      </w:pPr>
      <w:r>
        <w:t>A</w:t>
      </w:r>
      <w:r w:rsidR="005F064D">
        <w:t xml:space="preserve"> high reputation for wisdom</w:t>
      </w:r>
      <w:r w:rsidR="00887CA6">
        <w:t>.</w:t>
      </w:r>
    </w:p>
    <w:p w14:paraId="3BE20099" w14:textId="7ACA8E1A" w:rsidR="00FF1301" w:rsidRDefault="00FF1301" w:rsidP="005F064D">
      <w:pPr>
        <w:pStyle w:val="ListParagraph"/>
        <w:numPr>
          <w:ilvl w:val="2"/>
          <w:numId w:val="1"/>
        </w:numPr>
      </w:pPr>
      <w:r>
        <w:t>Origin of the word Magic</w:t>
      </w:r>
      <w:r w:rsidR="00887CA6">
        <w:t>.</w:t>
      </w:r>
    </w:p>
    <w:p w14:paraId="23287241" w14:textId="77777777" w:rsidR="00FF1301" w:rsidRDefault="005F064D" w:rsidP="00FF1301">
      <w:pPr>
        <w:pStyle w:val="ListParagraph"/>
        <w:numPr>
          <w:ilvl w:val="1"/>
          <w:numId w:val="1"/>
        </w:numPr>
      </w:pPr>
      <w:r>
        <w:t xml:space="preserve">Zoroastrian elements in Persian religion faded away; they were revived for a time under the Sassanid Dynasty (226-651 A.D.), but were finally eliminated by the Moslem and Tatar invasions of Persia. </w:t>
      </w:r>
    </w:p>
    <w:p w14:paraId="1F442C74" w14:textId="77777777" w:rsidR="00887CA6" w:rsidRPr="00887CA6" w:rsidRDefault="005F064D" w:rsidP="00FF1301">
      <w:pPr>
        <w:pStyle w:val="ListParagraph"/>
        <w:numPr>
          <w:ilvl w:val="1"/>
          <w:numId w:val="1"/>
        </w:numPr>
        <w:rPr>
          <w:b/>
          <w:bCs/>
        </w:rPr>
      </w:pPr>
      <w:r>
        <w:t>Zoroastrianism survives today only among small communities in the province of Fars, and among the ninety thousand Parsees of India.</w:t>
      </w:r>
    </w:p>
    <w:p w14:paraId="1974B349" w14:textId="75D8F537" w:rsidR="00FF1301" w:rsidRPr="00FF1301" w:rsidRDefault="005F064D" w:rsidP="00887CA6">
      <w:pPr>
        <w:pStyle w:val="ListParagraph"/>
        <w:ind w:left="1440"/>
        <w:rPr>
          <w:b/>
          <w:bCs/>
        </w:rPr>
      </w:pPr>
      <w:r>
        <w:t xml:space="preserve"> </w:t>
      </w:r>
    </w:p>
    <w:p w14:paraId="26A497EF" w14:textId="77777777" w:rsidR="00FF1301" w:rsidRDefault="005F064D" w:rsidP="00FF1301">
      <w:pPr>
        <w:pStyle w:val="ListParagraph"/>
        <w:numPr>
          <w:ilvl w:val="0"/>
          <w:numId w:val="1"/>
        </w:numPr>
        <w:rPr>
          <w:b/>
          <w:bCs/>
        </w:rPr>
      </w:pPr>
      <w:r w:rsidRPr="00FF1301">
        <w:rPr>
          <w:b/>
          <w:bCs/>
        </w:rPr>
        <w:t>Persia and the People of God</w:t>
      </w:r>
    </w:p>
    <w:p w14:paraId="62F5A2F4" w14:textId="1C368094" w:rsidR="00FF1301" w:rsidRPr="00FF1301" w:rsidRDefault="00FF1301" w:rsidP="00FF1301">
      <w:pPr>
        <w:pStyle w:val="ListParagraph"/>
        <w:numPr>
          <w:ilvl w:val="1"/>
          <w:numId w:val="1"/>
        </w:numPr>
        <w:rPr>
          <w:b/>
          <w:bCs/>
        </w:rPr>
      </w:pPr>
      <w:r w:rsidRPr="000F7779">
        <w:t>Cyrus conquered the Babylonians</w:t>
      </w:r>
      <w:r w:rsidR="00887CA6">
        <w:t xml:space="preserve"> -</w:t>
      </w:r>
      <w:r w:rsidRPr="000F7779">
        <w:t xml:space="preserve"> He allowed the people to return. Ezra, Nehemiah tell of Judah’s return—first of the rebuilding of the Temple and the</w:t>
      </w:r>
      <w:r>
        <w:t>n</w:t>
      </w:r>
      <w:r w:rsidRPr="000F7779">
        <w:t xml:space="preserve"> (In Nehemiah) the rebuilding of the wall and the city, beginning in 538 B.C. </w:t>
      </w:r>
    </w:p>
    <w:p w14:paraId="10EAE92A" w14:textId="77777777" w:rsidR="00FF1301" w:rsidRPr="00FF1301" w:rsidRDefault="005F064D" w:rsidP="00FF1301">
      <w:pPr>
        <w:pStyle w:val="ListParagraph"/>
        <w:numPr>
          <w:ilvl w:val="1"/>
          <w:numId w:val="1"/>
        </w:numPr>
        <w:rPr>
          <w:b/>
          <w:bCs/>
        </w:rPr>
      </w:pPr>
      <w:r w:rsidRPr="00FF1301">
        <w:t>Cyrus is hailed as the chosen deliverer of the Jews from Babylon (Isa. 44:28, ‘my shepherd’; 45:1, ‘my anointed’) and as stirred up by God to rebuild the Jerusalem Temple (2 Chron. 36:22–23; Ezra 1:1–2; 3:7; 4:3).</w:t>
      </w:r>
      <w:r w:rsidRPr="0019659F">
        <w:t xml:space="preserve"> </w:t>
      </w:r>
    </w:p>
    <w:p w14:paraId="6FDB5C27" w14:textId="6D4526B5" w:rsidR="005F064D" w:rsidRPr="00FF1301" w:rsidRDefault="005F064D" w:rsidP="00FF1301">
      <w:pPr>
        <w:pStyle w:val="ListParagraph"/>
        <w:numPr>
          <w:ilvl w:val="1"/>
          <w:numId w:val="1"/>
        </w:numPr>
        <w:rPr>
          <w:b/>
          <w:bCs/>
        </w:rPr>
      </w:pPr>
      <w:r w:rsidRPr="0019659F">
        <w:t>The reign of Darius I provides the dating framework for the books of Haggai and Zechariah. Artaxerxes is mentioned in Ezra 6:14; 7:1; and 9:9 and in Neh. 2:1; 5:14; and 13:6. The story of Esther is set in the reign of Ahasuerus (Xerxes, 1:1–2). A later Darius (II or III) is named in Neh. 12:22.</w:t>
      </w:r>
    </w:p>
    <w:p w14:paraId="0A379DA3" w14:textId="77777777" w:rsidR="00FC5534" w:rsidRPr="005F064D" w:rsidRDefault="00FC5534" w:rsidP="005F064D">
      <w:bookmarkStart w:id="0" w:name="_GoBack"/>
      <w:bookmarkEnd w:id="0"/>
    </w:p>
    <w:sectPr w:rsidR="00FC5534" w:rsidRPr="005F064D">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479A3" w14:textId="77777777" w:rsidR="00AF7B6F" w:rsidRDefault="00AF7B6F" w:rsidP="009555D1">
      <w:r>
        <w:separator/>
      </w:r>
    </w:p>
  </w:endnote>
  <w:endnote w:type="continuationSeparator" w:id="0">
    <w:p w14:paraId="79D90265" w14:textId="77777777" w:rsidR="00AF7B6F" w:rsidRDefault="00AF7B6F" w:rsidP="0095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E4581" w14:textId="77777777" w:rsidR="00AF7B6F" w:rsidRDefault="00AF7B6F" w:rsidP="009555D1">
      <w:r>
        <w:separator/>
      </w:r>
    </w:p>
  </w:footnote>
  <w:footnote w:type="continuationSeparator" w:id="0">
    <w:p w14:paraId="3DDF9730" w14:textId="77777777" w:rsidR="00AF7B6F" w:rsidRDefault="00AF7B6F" w:rsidP="009555D1">
      <w:r>
        <w:continuationSeparator/>
      </w:r>
    </w:p>
  </w:footnote>
  <w:footnote w:id="1">
    <w:p w14:paraId="26E34F3C" w14:textId="04BEF4B6" w:rsidR="005F064D" w:rsidRPr="00FF1301" w:rsidRDefault="005F064D" w:rsidP="005F064D">
      <w:pPr>
        <w:rPr>
          <w:sz w:val="18"/>
          <w:szCs w:val="18"/>
        </w:rPr>
      </w:pPr>
      <w:r w:rsidRPr="00FF1301">
        <w:rPr>
          <w:sz w:val="18"/>
          <w:szCs w:val="18"/>
          <w:vertAlign w:val="superscript"/>
        </w:rPr>
        <w:footnoteRef/>
      </w:r>
      <w:r w:rsidRPr="00FF1301">
        <w:rPr>
          <w:sz w:val="18"/>
          <w:szCs w:val="18"/>
        </w:rPr>
        <w:t xml:space="preserve"> </w:t>
      </w:r>
      <w:hyperlink r:id="rId1" w:history="1">
        <w:r w:rsidRPr="00FF1301">
          <w:rPr>
            <w:i/>
            <w:color w:val="0000FF"/>
            <w:sz w:val="18"/>
            <w:szCs w:val="18"/>
            <w:u w:val="single"/>
          </w:rPr>
          <w:t>The Holy Bible: English Standard Version</w:t>
        </w:r>
      </w:hyperlink>
      <w:r w:rsidRPr="00FF1301">
        <w:rPr>
          <w:sz w:val="18"/>
          <w:szCs w:val="18"/>
        </w:rPr>
        <w:t>. (2016). (Da 2:31–35[45]). Wheaton, IL: Crossway Bibles.</w:t>
      </w:r>
    </w:p>
  </w:footnote>
  <w:footnote w:id="2">
    <w:p w14:paraId="79637427" w14:textId="77777777" w:rsidR="005F064D" w:rsidRPr="00FF1301" w:rsidRDefault="005F064D" w:rsidP="005F064D">
      <w:pPr>
        <w:rPr>
          <w:sz w:val="18"/>
          <w:szCs w:val="18"/>
        </w:rPr>
      </w:pPr>
      <w:r w:rsidRPr="00FF1301">
        <w:rPr>
          <w:sz w:val="18"/>
          <w:szCs w:val="18"/>
          <w:vertAlign w:val="superscript"/>
        </w:rPr>
        <w:footnoteRef/>
      </w:r>
      <w:r w:rsidRPr="00FF1301">
        <w:rPr>
          <w:sz w:val="18"/>
          <w:szCs w:val="18"/>
        </w:rPr>
        <w:t xml:space="preserve"> Crossway Bibles. (2008). </w:t>
      </w:r>
      <w:hyperlink r:id="rId2" w:history="1">
        <w:r w:rsidRPr="00FF1301">
          <w:rPr>
            <w:i/>
            <w:color w:val="0000FF"/>
            <w:sz w:val="18"/>
            <w:szCs w:val="18"/>
            <w:u w:val="single"/>
          </w:rPr>
          <w:t>The ESV Study Bible</w:t>
        </w:r>
      </w:hyperlink>
      <w:r w:rsidRPr="00FF1301">
        <w:rPr>
          <w:sz w:val="18"/>
          <w:szCs w:val="18"/>
        </w:rPr>
        <w:t xml:space="preserve"> (p. 1587). Wheaton, IL: Crossway Bibles.</w:t>
      </w:r>
    </w:p>
  </w:footnote>
  <w:footnote w:id="3">
    <w:p w14:paraId="045F0BC6" w14:textId="77777777" w:rsidR="005F064D" w:rsidRPr="00FF1301" w:rsidRDefault="005F064D" w:rsidP="005F064D">
      <w:pPr>
        <w:rPr>
          <w:sz w:val="18"/>
          <w:szCs w:val="18"/>
        </w:rPr>
      </w:pPr>
      <w:r w:rsidRPr="00FF1301">
        <w:rPr>
          <w:sz w:val="18"/>
          <w:szCs w:val="18"/>
          <w:vertAlign w:val="superscript"/>
        </w:rPr>
        <w:footnoteRef/>
      </w:r>
      <w:r w:rsidRPr="00FF1301">
        <w:rPr>
          <w:sz w:val="18"/>
          <w:szCs w:val="18"/>
        </w:rPr>
        <w:t xml:space="preserve"> Achtemeier, P. J., Harper &amp; Row and Society of Biblical Literature. (1985). In </w:t>
      </w:r>
      <w:hyperlink r:id="rId3" w:history="1">
        <w:r w:rsidRPr="00FF1301">
          <w:rPr>
            <w:i/>
            <w:color w:val="0000FF"/>
            <w:sz w:val="18"/>
            <w:szCs w:val="18"/>
            <w:u w:val="single"/>
          </w:rPr>
          <w:t>Harper’s Bible dictionary</w:t>
        </w:r>
      </w:hyperlink>
      <w:r w:rsidRPr="00FF1301">
        <w:rPr>
          <w:sz w:val="18"/>
          <w:szCs w:val="18"/>
        </w:rPr>
        <w:t xml:space="preserve"> (1st ed., pp. 1167–1168). San Francisco: Harper &amp; Row.</w:t>
      </w:r>
    </w:p>
  </w:footnote>
  <w:footnote w:id="4">
    <w:p w14:paraId="4D5363BA" w14:textId="77777777" w:rsidR="005F064D" w:rsidRDefault="005F064D" w:rsidP="005F064D">
      <w:r w:rsidRPr="00FF1301">
        <w:rPr>
          <w:sz w:val="18"/>
          <w:szCs w:val="18"/>
          <w:vertAlign w:val="superscript"/>
        </w:rPr>
        <w:footnoteRef/>
      </w:r>
      <w:r w:rsidRPr="00FF1301">
        <w:rPr>
          <w:sz w:val="18"/>
          <w:szCs w:val="18"/>
        </w:rPr>
        <w:t xml:space="preserve"> Achtemeier, P. J., Harper &amp; Row and Society of Biblical Literature. (1985). In </w:t>
      </w:r>
      <w:hyperlink r:id="rId4" w:history="1">
        <w:r w:rsidRPr="00FF1301">
          <w:rPr>
            <w:i/>
            <w:color w:val="0000FF"/>
            <w:sz w:val="18"/>
            <w:szCs w:val="18"/>
            <w:u w:val="single"/>
          </w:rPr>
          <w:t>Harper’s Bible dictionary</w:t>
        </w:r>
      </w:hyperlink>
      <w:r w:rsidRPr="00FF1301">
        <w:rPr>
          <w:sz w:val="18"/>
          <w:szCs w:val="18"/>
        </w:rPr>
        <w:t xml:space="preserve"> (1st ed., p. 1168). San Francisco: Harper &amp; Row.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35777612"/>
      <w:docPartObj>
        <w:docPartGallery w:val="Page Numbers (Top of Page)"/>
        <w:docPartUnique/>
      </w:docPartObj>
    </w:sdtPr>
    <w:sdtEndPr>
      <w:rPr>
        <w:rStyle w:val="PageNumber"/>
      </w:rPr>
    </w:sdtEndPr>
    <w:sdtContent>
      <w:p w14:paraId="511B5BA8" w14:textId="6C5F63DB" w:rsidR="00FF1301" w:rsidRDefault="00FF1301" w:rsidP="005C4EB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E8BB7E9" w14:textId="77777777" w:rsidR="00FF1301" w:rsidRDefault="00FF1301" w:rsidP="00FF130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89586567"/>
      <w:docPartObj>
        <w:docPartGallery w:val="Page Numbers (Top of Page)"/>
        <w:docPartUnique/>
      </w:docPartObj>
    </w:sdtPr>
    <w:sdtEndPr>
      <w:rPr>
        <w:rStyle w:val="PageNumber"/>
      </w:rPr>
    </w:sdtEndPr>
    <w:sdtContent>
      <w:p w14:paraId="3DDE61F8" w14:textId="72E186BF" w:rsidR="00FF1301" w:rsidRDefault="00FF1301" w:rsidP="005C4EB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87CA6">
          <w:rPr>
            <w:rStyle w:val="PageNumber"/>
            <w:noProof/>
          </w:rPr>
          <w:t>1</w:t>
        </w:r>
        <w:r>
          <w:rPr>
            <w:rStyle w:val="PageNumber"/>
          </w:rPr>
          <w:fldChar w:fldCharType="end"/>
        </w:r>
      </w:p>
    </w:sdtContent>
  </w:sdt>
  <w:p w14:paraId="155D7857" w14:textId="77777777" w:rsidR="00FF1301" w:rsidRDefault="00FF1301" w:rsidP="00FF130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A5F76"/>
    <w:multiLevelType w:val="multilevel"/>
    <w:tmpl w:val="9508D856"/>
    <w:numStyleLink w:val="Harvard"/>
  </w:abstractNum>
  <w:abstractNum w:abstractNumId="1" w15:restartNumberingAfterBreak="0">
    <w:nsid w:val="625104EE"/>
    <w:multiLevelType w:val="hybridMultilevel"/>
    <w:tmpl w:val="9508D856"/>
    <w:styleLink w:val="Harvard"/>
    <w:lvl w:ilvl="0" w:tplc="EECA5F50">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38E294">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BC646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FC4904C">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18E52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2ABAA4">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DE28E2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56DEC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A2CB16">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9867B48"/>
    <w:multiLevelType w:val="hybridMultilevel"/>
    <w:tmpl w:val="DA58244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7D2F93"/>
    <w:multiLevelType w:val="hybridMultilevel"/>
    <w:tmpl w:val="64769BB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E2E18A0"/>
    <w:multiLevelType w:val="hybridMultilevel"/>
    <w:tmpl w:val="55AAC552"/>
    <w:lvl w:ilvl="0" w:tplc="232A7B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D1"/>
    <w:rsid w:val="00385FBA"/>
    <w:rsid w:val="003F09E4"/>
    <w:rsid w:val="005041C7"/>
    <w:rsid w:val="005F064D"/>
    <w:rsid w:val="00887CA6"/>
    <w:rsid w:val="008B21AE"/>
    <w:rsid w:val="009414D6"/>
    <w:rsid w:val="009555D1"/>
    <w:rsid w:val="00AF7B6F"/>
    <w:rsid w:val="00D07E82"/>
    <w:rsid w:val="00D96460"/>
    <w:rsid w:val="00E777E1"/>
    <w:rsid w:val="00FC5534"/>
    <w:rsid w:val="00FF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9822"/>
  <w15:chartTrackingRefBased/>
  <w15:docId w15:val="{8C0FE476-9D69-6E4E-887E-8CB3A45A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b Normal"/>
    <w:qFormat/>
    <w:rsid w:val="005F064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5D1"/>
    <w:pPr>
      <w:ind w:left="720"/>
      <w:contextualSpacing/>
    </w:pPr>
  </w:style>
  <w:style w:type="paragraph" w:styleId="BodyText">
    <w:name w:val="Body Text"/>
    <w:basedOn w:val="Normal"/>
    <w:link w:val="BodyTextChar"/>
    <w:rsid w:val="005F064D"/>
    <w:rPr>
      <w:rFonts w:eastAsia="Times New Roman" w:cs="Times New Roman"/>
      <w:szCs w:val="20"/>
    </w:rPr>
  </w:style>
  <w:style w:type="character" w:customStyle="1" w:styleId="BodyTextChar">
    <w:name w:val="Body Text Char"/>
    <w:basedOn w:val="DefaultParagraphFont"/>
    <w:link w:val="BodyText"/>
    <w:rsid w:val="005F064D"/>
    <w:rPr>
      <w:rFonts w:ascii="Times New Roman" w:eastAsia="Times New Roman" w:hAnsi="Times New Roman" w:cs="Times New Roman"/>
      <w:szCs w:val="20"/>
    </w:rPr>
  </w:style>
  <w:style w:type="paragraph" w:customStyle="1" w:styleId="Body">
    <w:name w:val="Body"/>
    <w:rsid w:val="005F064D"/>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Harvard">
    <w:name w:val="Harvard"/>
    <w:rsid w:val="005F064D"/>
    <w:pPr>
      <w:numPr>
        <w:numId w:val="3"/>
      </w:numPr>
    </w:pPr>
  </w:style>
  <w:style w:type="paragraph" w:styleId="Footer">
    <w:name w:val="footer"/>
    <w:basedOn w:val="Normal"/>
    <w:link w:val="FooterChar"/>
    <w:uiPriority w:val="99"/>
    <w:unhideWhenUsed/>
    <w:rsid w:val="00FF1301"/>
    <w:pPr>
      <w:tabs>
        <w:tab w:val="center" w:pos="4680"/>
        <w:tab w:val="right" w:pos="9360"/>
      </w:tabs>
    </w:pPr>
  </w:style>
  <w:style w:type="character" w:customStyle="1" w:styleId="FooterChar">
    <w:name w:val="Footer Char"/>
    <w:basedOn w:val="DefaultParagraphFont"/>
    <w:link w:val="Footer"/>
    <w:uiPriority w:val="99"/>
    <w:rsid w:val="00FF1301"/>
    <w:rPr>
      <w:rFonts w:ascii="Times New Roman" w:hAnsi="Times New Roman"/>
    </w:rPr>
  </w:style>
  <w:style w:type="character" w:styleId="PageNumber">
    <w:name w:val="page number"/>
    <w:basedOn w:val="DefaultParagraphFont"/>
    <w:uiPriority w:val="99"/>
    <w:semiHidden/>
    <w:unhideWhenUsed/>
    <w:rsid w:val="00FF1301"/>
  </w:style>
  <w:style w:type="paragraph" w:styleId="Header">
    <w:name w:val="header"/>
    <w:basedOn w:val="Normal"/>
    <w:link w:val="HeaderChar"/>
    <w:uiPriority w:val="99"/>
    <w:unhideWhenUsed/>
    <w:rsid w:val="00FF1301"/>
    <w:pPr>
      <w:tabs>
        <w:tab w:val="center" w:pos="4680"/>
        <w:tab w:val="right" w:pos="9360"/>
      </w:tabs>
    </w:pPr>
  </w:style>
  <w:style w:type="character" w:customStyle="1" w:styleId="HeaderChar">
    <w:name w:val="Header Char"/>
    <w:basedOn w:val="DefaultParagraphFont"/>
    <w:link w:val="Header"/>
    <w:uiPriority w:val="99"/>
    <w:rsid w:val="00FF1301"/>
    <w:rPr>
      <w:rFonts w:ascii="Times New Roman" w:hAnsi="Times New Roman"/>
    </w:rPr>
  </w:style>
  <w:style w:type="paragraph" w:styleId="BalloonText">
    <w:name w:val="Balloon Text"/>
    <w:basedOn w:val="Normal"/>
    <w:link w:val="BalloonTextChar"/>
    <w:uiPriority w:val="99"/>
    <w:semiHidden/>
    <w:unhideWhenUsed/>
    <w:rsid w:val="008B2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hbd?ref=Page.p+1167&amp;off=5119&amp;ctx=het+whose+followers+~worshiped+the+deity+" TargetMode="External"/><Relationship Id="rId2" Type="http://schemas.openxmlformats.org/officeDocument/2006/relationships/hyperlink" Target="https://ref.ly/logosres/esvsb?ref=BibleESV.Da2.2&amp;off=339&amp;ctx=nterpreting+dreams.%0a~Rulers+During+the+Ti" TargetMode="External"/><Relationship Id="rId1" Type="http://schemas.openxmlformats.org/officeDocument/2006/relationships/hyperlink" Target="https://ref.ly/logosres/esv?ref=BibleESV.Da2.31&amp;off=0&amp;ctx=ghts+of+your+mind.+%0a~Daniel+Interprets+th" TargetMode="External"/><Relationship Id="rId4" Type="http://schemas.openxmlformats.org/officeDocument/2006/relationships/hyperlink" Target="https://ref.ly/logosres/hbd?ref=Page.p+1168&amp;off=420&amp;ctx=ould+acquire+later.%0a~According+to+Zoro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Fuller Jr.</dc:creator>
  <cp:keywords/>
  <dc:description/>
  <cp:lastModifiedBy>Figueroa, Sheila</cp:lastModifiedBy>
  <cp:revision>3</cp:revision>
  <cp:lastPrinted>2022-10-26T20:44:00Z</cp:lastPrinted>
  <dcterms:created xsi:type="dcterms:W3CDTF">2022-10-26T20:45:00Z</dcterms:created>
  <dcterms:modified xsi:type="dcterms:W3CDTF">2022-10-26T21:01:00Z</dcterms:modified>
</cp:coreProperties>
</file>