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1928F" w14:textId="77777777" w:rsidR="008943A0" w:rsidRDefault="008943A0" w:rsidP="008943A0">
      <w:pPr>
        <w:jc w:val="center"/>
      </w:pPr>
      <w:bookmarkStart w:id="0" w:name="_GoBack"/>
      <w:bookmarkEnd w:id="0"/>
      <w:r w:rsidRPr="00CC4EFC">
        <w:rPr>
          <w:noProof/>
        </w:rPr>
        <w:drawing>
          <wp:inline distT="0" distB="0" distL="0" distR="0" wp14:anchorId="686D3E35" wp14:editId="41F85E6E">
            <wp:extent cx="3517461" cy="1978572"/>
            <wp:effectExtent l="0" t="0" r="635" b="3175"/>
            <wp:docPr id="5" name="Picture 4">
              <a:extLst xmlns:a="http://schemas.openxmlformats.org/drawingml/2006/main">
                <a:ext uri="{FF2B5EF4-FFF2-40B4-BE49-F238E27FC236}">
                  <a16:creationId xmlns:a16="http://schemas.microsoft.com/office/drawing/2014/main" id="{2095755E-F617-3425-0F10-D1BC05B96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095755E-F617-3425-0F10-D1BC05B96C47}"/>
                        </a:ext>
                      </a:extLst>
                    </pic:cNvPr>
                    <pic:cNvPicPr>
                      <a:picLocks noChangeAspect="1"/>
                    </pic:cNvPicPr>
                  </pic:nvPicPr>
                  <pic:blipFill>
                    <a:blip r:embed="rId7"/>
                    <a:stretch>
                      <a:fillRect/>
                    </a:stretch>
                  </pic:blipFill>
                  <pic:spPr>
                    <a:xfrm>
                      <a:off x="0" y="0"/>
                      <a:ext cx="3535918" cy="1988954"/>
                    </a:xfrm>
                    <a:prstGeom prst="rect">
                      <a:avLst/>
                    </a:prstGeom>
                  </pic:spPr>
                </pic:pic>
              </a:graphicData>
            </a:graphic>
          </wp:inline>
        </w:drawing>
      </w:r>
    </w:p>
    <w:p w14:paraId="52106DA9" w14:textId="77777777" w:rsidR="008943A0" w:rsidRDefault="008943A0" w:rsidP="008943A0"/>
    <w:p w14:paraId="5B4BD3F2" w14:textId="77777777" w:rsidR="008943A0" w:rsidRDefault="008943A0" w:rsidP="008943A0"/>
    <w:p w14:paraId="070EC5CE" w14:textId="56386479" w:rsidR="008943A0" w:rsidRDefault="008943A0" w:rsidP="008943A0">
      <w:pPr>
        <w:jc w:val="center"/>
      </w:pPr>
      <w:r>
        <w:t>EPISODE</w:t>
      </w:r>
      <w:r w:rsidR="004B0925">
        <w:t xml:space="preserve"> 6</w:t>
      </w:r>
      <w:r>
        <w:t>: Canaanites and Philistines (Joshua and Judges)</w:t>
      </w:r>
    </w:p>
    <w:p w14:paraId="5CC72FF9" w14:textId="4898F716" w:rsidR="008943A0" w:rsidRDefault="008943A0" w:rsidP="008943A0">
      <w:pPr>
        <w:jc w:val="center"/>
      </w:pPr>
      <w:r>
        <w:t>Joshua 1-2; 15-16; Judges 1-2, 17-18; 1 Samuel 4-5</w:t>
      </w:r>
    </w:p>
    <w:p w14:paraId="1DE63739" w14:textId="66E9DFC8" w:rsidR="00803DE9" w:rsidRDefault="008943A0" w:rsidP="001D4547">
      <w:pPr>
        <w:jc w:val="center"/>
      </w:pPr>
      <w:r>
        <w:t>10/5-10/6</w:t>
      </w:r>
    </w:p>
    <w:p w14:paraId="05350CE9" w14:textId="5F3CEE5B" w:rsidR="00252975" w:rsidRDefault="00252975" w:rsidP="00803DE9"/>
    <w:p w14:paraId="2A5DEA38" w14:textId="1EF033FD" w:rsidR="00EA1808" w:rsidRDefault="00252975" w:rsidP="00EA1808">
      <w:pPr>
        <w:pStyle w:val="ListParagraph"/>
        <w:numPr>
          <w:ilvl w:val="0"/>
          <w:numId w:val="1"/>
        </w:numPr>
      </w:pPr>
      <w:r>
        <w:t>The World Situation</w:t>
      </w:r>
    </w:p>
    <w:p w14:paraId="00072B82" w14:textId="77777777" w:rsidR="007203EE" w:rsidRDefault="007203EE" w:rsidP="007203EE">
      <w:pPr>
        <w:pStyle w:val="ListParagraph"/>
        <w:ind w:left="1080"/>
      </w:pPr>
    </w:p>
    <w:p w14:paraId="51E074F8" w14:textId="77777777" w:rsidR="000259B9" w:rsidRDefault="006C3608" w:rsidP="00803DE9">
      <w:pPr>
        <w:pStyle w:val="ListParagraph"/>
        <w:numPr>
          <w:ilvl w:val="0"/>
          <w:numId w:val="1"/>
        </w:numPr>
      </w:pPr>
      <w:r>
        <w:t xml:space="preserve">The Cousins: </w:t>
      </w:r>
      <w:r w:rsidR="00803DE9">
        <w:t>East of the Jordan</w:t>
      </w:r>
    </w:p>
    <w:p w14:paraId="55D75878" w14:textId="77777777" w:rsidR="00846EF5" w:rsidRDefault="006C3608" w:rsidP="00803DE9">
      <w:pPr>
        <w:pStyle w:val="ListParagraph"/>
        <w:numPr>
          <w:ilvl w:val="1"/>
          <w:numId w:val="1"/>
        </w:numPr>
      </w:pPr>
      <w:r>
        <w:t>Edom</w:t>
      </w:r>
      <w:r w:rsidR="000259B9">
        <w:t xml:space="preserve">: </w:t>
      </w:r>
    </w:p>
    <w:p w14:paraId="0BBDE22E" w14:textId="620EECCA" w:rsidR="00846EF5" w:rsidRDefault="00846EF5" w:rsidP="00846EF5">
      <w:pPr>
        <w:pStyle w:val="ListParagraph"/>
        <w:numPr>
          <w:ilvl w:val="2"/>
          <w:numId w:val="1"/>
        </w:numPr>
      </w:pPr>
      <w:r>
        <w:t>Genesis describes the Edomites as descendants of Esau.</w:t>
      </w:r>
      <w:r w:rsidRPr="00846EF5">
        <w:t xml:space="preserve"> </w:t>
      </w:r>
      <w:r w:rsidRPr="00846EF5">
        <w:rPr>
          <w:i/>
          <w:iCs/>
        </w:rPr>
        <w:t xml:space="preserve">These are the generations of Esau (that is, </w:t>
      </w:r>
      <w:r w:rsidRPr="00846EF5">
        <w:rPr>
          <w:i/>
          <w:iCs/>
          <w:color w:val="000000"/>
        </w:rPr>
        <w:t>Edom</w:t>
      </w:r>
      <w:r w:rsidRPr="00846EF5">
        <w:rPr>
          <w:i/>
          <w:iCs/>
        </w:rPr>
        <w:t>).</w:t>
      </w:r>
      <w:r>
        <w:rPr>
          <w:i/>
          <w:iCs/>
        </w:rPr>
        <w:t xml:space="preserve"> (Genesis 36:1)</w:t>
      </w:r>
    </w:p>
    <w:p w14:paraId="244437A8" w14:textId="77777777" w:rsidR="00846EF5" w:rsidRDefault="00846EF5" w:rsidP="00846EF5">
      <w:pPr>
        <w:pStyle w:val="ListParagraph"/>
        <w:numPr>
          <w:ilvl w:val="2"/>
          <w:numId w:val="1"/>
        </w:numPr>
      </w:pPr>
      <w:r>
        <w:t xml:space="preserve"> </w:t>
      </w:r>
      <w:r w:rsidR="006C3608">
        <w:t xml:space="preserve">The Hebrew word Edom means "red", </w:t>
      </w:r>
      <w:r>
        <w:t>“ruddy.”</w:t>
      </w:r>
    </w:p>
    <w:p w14:paraId="53179601" w14:textId="5E439485" w:rsidR="00846EF5" w:rsidRDefault="00846EF5" w:rsidP="00846EF5">
      <w:pPr>
        <w:pStyle w:val="ListParagraph"/>
        <w:numPr>
          <w:ilvl w:val="2"/>
          <w:numId w:val="1"/>
        </w:numPr>
      </w:pPr>
      <w:r>
        <w:t>Worshipped El, but other pagan deities as well.</w:t>
      </w:r>
    </w:p>
    <w:p w14:paraId="06C7F8F7" w14:textId="77777777" w:rsidR="000259B9" w:rsidRDefault="006C3608" w:rsidP="000259B9">
      <w:pPr>
        <w:pStyle w:val="ListParagraph"/>
        <w:numPr>
          <w:ilvl w:val="1"/>
          <w:numId w:val="1"/>
        </w:numPr>
      </w:pPr>
      <w:r>
        <w:t xml:space="preserve">Moab </w:t>
      </w:r>
    </w:p>
    <w:p w14:paraId="2FDA1E3F" w14:textId="776CA665" w:rsidR="00846EF5" w:rsidRDefault="00846EF5" w:rsidP="00846EF5">
      <w:pPr>
        <w:pStyle w:val="ListParagraph"/>
        <w:numPr>
          <w:ilvl w:val="2"/>
          <w:numId w:val="1"/>
        </w:numPr>
      </w:pPr>
      <w:r w:rsidRPr="000259B9">
        <w:t>According to Genesis-Joshua, the Moabites descended from an ancestor named Moab</w:t>
      </w:r>
      <w:r w:rsidR="007203EE">
        <w:t xml:space="preserve">.  </w:t>
      </w:r>
      <w:r w:rsidRPr="000259B9">
        <w:t>Lot’s son/grandson (Gen 19:37), and their land was inhabited in earliest times by a race of giants known as the Emim (Deut 2:10).</w:t>
      </w:r>
    </w:p>
    <w:p w14:paraId="58E14DB2" w14:textId="77777777" w:rsidR="000259B9" w:rsidRDefault="000259B9" w:rsidP="000259B9">
      <w:pPr>
        <w:pStyle w:val="ListParagraph"/>
        <w:numPr>
          <w:ilvl w:val="2"/>
          <w:numId w:val="1"/>
        </w:numPr>
        <w:rPr>
          <w:i/>
          <w:iCs/>
        </w:rPr>
      </w:pPr>
      <w:r w:rsidRPr="000259B9">
        <w:rPr>
          <w:b/>
          <w:i/>
          <w:iCs/>
          <w:vertAlign w:val="superscript"/>
        </w:rPr>
        <w:t>36 </w:t>
      </w:r>
      <w:r w:rsidRPr="000259B9">
        <w:rPr>
          <w:i/>
          <w:iCs/>
        </w:rPr>
        <w:t xml:space="preserve">Thus both the daughters of Lot became pregnant by their father. </w:t>
      </w:r>
      <w:r w:rsidRPr="000259B9">
        <w:rPr>
          <w:b/>
          <w:i/>
          <w:iCs/>
          <w:vertAlign w:val="superscript"/>
        </w:rPr>
        <w:t>37 </w:t>
      </w:r>
      <w:r w:rsidRPr="000259B9">
        <w:rPr>
          <w:i/>
          <w:iCs/>
        </w:rPr>
        <w:t xml:space="preserve">The firstborn bore a son and called his name </w:t>
      </w:r>
      <w:r w:rsidRPr="000259B9">
        <w:rPr>
          <w:i/>
          <w:iCs/>
          <w:color w:val="000000"/>
        </w:rPr>
        <w:t>Moab</w:t>
      </w:r>
      <w:r w:rsidRPr="000259B9">
        <w:rPr>
          <w:i/>
          <w:iCs/>
        </w:rPr>
        <w:t xml:space="preserve">. He is the father of the Moabites to this day. </w:t>
      </w:r>
      <w:r w:rsidRPr="000259B9">
        <w:rPr>
          <w:b/>
          <w:i/>
          <w:iCs/>
          <w:vertAlign w:val="superscript"/>
        </w:rPr>
        <w:t>38 </w:t>
      </w:r>
      <w:r w:rsidRPr="000259B9">
        <w:rPr>
          <w:i/>
          <w:iCs/>
        </w:rPr>
        <w:t xml:space="preserve">The younger also bore a son and called his name Ben-ammi. He is the father of the Ammonites to this day. </w:t>
      </w:r>
      <w:r w:rsidRPr="000259B9">
        <w:rPr>
          <w:i/>
          <w:iCs/>
          <w:vertAlign w:val="superscript"/>
        </w:rPr>
        <w:footnoteReference w:id="1"/>
      </w:r>
    </w:p>
    <w:p w14:paraId="7DB7F70D" w14:textId="198D0E9A" w:rsidR="000259B9" w:rsidRPr="000259B9" w:rsidRDefault="000259B9" w:rsidP="005241BF">
      <w:pPr>
        <w:pStyle w:val="ListParagraph"/>
        <w:numPr>
          <w:ilvl w:val="2"/>
          <w:numId w:val="1"/>
        </w:numPr>
        <w:rPr>
          <w:i/>
          <w:iCs/>
        </w:rPr>
      </w:pPr>
      <w:r w:rsidRPr="000259B9">
        <w:t xml:space="preserve">The plains of Moab provide the setting for a considerable portion of the Genesis–Joshua narrative, therefore, from Numbers 21 through Joshua 3. </w:t>
      </w:r>
    </w:p>
    <w:p w14:paraId="282B4F7B" w14:textId="6E2C0DD7" w:rsidR="00252975" w:rsidRPr="00252975" w:rsidRDefault="000259B9" w:rsidP="006C3608">
      <w:pPr>
        <w:pStyle w:val="ListParagraph"/>
        <w:numPr>
          <w:ilvl w:val="2"/>
          <w:numId w:val="1"/>
        </w:numPr>
        <w:rPr>
          <w:i/>
          <w:iCs/>
        </w:rPr>
      </w:pPr>
      <w:r w:rsidRPr="000259B9">
        <w:t xml:space="preserve">Other passages indicate that there was constant interchange between the Israelites and Moabites including intermarriage. The genealogical record at the end of the book of Ruth is especially noteworthy in this regard. </w:t>
      </w:r>
    </w:p>
    <w:p w14:paraId="1FDAB61A" w14:textId="77777777" w:rsidR="005241BF" w:rsidRPr="005241BF" w:rsidRDefault="006C3608" w:rsidP="005241BF">
      <w:pPr>
        <w:pStyle w:val="ListParagraph"/>
        <w:numPr>
          <w:ilvl w:val="2"/>
          <w:numId w:val="1"/>
        </w:numPr>
        <w:rPr>
          <w:i/>
          <w:iCs/>
        </w:rPr>
      </w:pPr>
      <w:r w:rsidRPr="006C3608">
        <w:t>Chemosh emerged as the national god of the Moabites, and was understood to have the same special relationship with them that Yahweh had with the Israelites. Jeremiah refers to the Moabites as “the people of Chemosh” (48:46; see also Num 21:29).</w:t>
      </w:r>
      <w:r w:rsidR="00252975">
        <w:t xml:space="preserve"> </w:t>
      </w:r>
    </w:p>
    <w:p w14:paraId="3BECD201" w14:textId="5600C38C" w:rsidR="007203EE" w:rsidRPr="007203EE" w:rsidRDefault="006C3608" w:rsidP="007203EE">
      <w:pPr>
        <w:pStyle w:val="ListParagraph"/>
        <w:numPr>
          <w:ilvl w:val="2"/>
          <w:numId w:val="1"/>
        </w:numPr>
        <w:rPr>
          <w:i/>
          <w:iCs/>
        </w:rPr>
      </w:pPr>
      <w:r w:rsidRPr="006C3608">
        <w:lastRenderedPageBreak/>
        <w:t xml:space="preserve">2 Kings 3 has </w:t>
      </w:r>
      <w:r w:rsidR="00252975">
        <w:t xml:space="preserve">Moabite King </w:t>
      </w:r>
      <w:r w:rsidRPr="006C3608">
        <w:t xml:space="preserve">Mesha resorting to child sacrifice (see, e.g., 2 Kgs 16:3). </w:t>
      </w:r>
    </w:p>
    <w:p w14:paraId="098042E2" w14:textId="77777777" w:rsidR="007203EE" w:rsidRDefault="006C3608" w:rsidP="005241BF">
      <w:pPr>
        <w:pStyle w:val="ListParagraph"/>
        <w:numPr>
          <w:ilvl w:val="1"/>
          <w:numId w:val="1"/>
        </w:numPr>
      </w:pPr>
      <w:r w:rsidRPr="006C3608">
        <w:t>Ammonites</w:t>
      </w:r>
      <w:r w:rsidR="007203EE">
        <w:t xml:space="preserve"> </w:t>
      </w:r>
      <w:r w:rsidRPr="006C3608">
        <w:t>/ Amorite</w:t>
      </w:r>
      <w:r w:rsidR="00252975">
        <w:t>s</w:t>
      </w:r>
    </w:p>
    <w:p w14:paraId="51C72C72" w14:textId="0EAFCE0B" w:rsidR="00C67D30" w:rsidRDefault="006C3608" w:rsidP="007203EE">
      <w:pPr>
        <w:pStyle w:val="ListParagraph"/>
        <w:ind w:left="1440"/>
      </w:pPr>
      <w:r w:rsidRPr="006C3608">
        <w:t xml:space="preserve"> </w:t>
      </w:r>
    </w:p>
    <w:p w14:paraId="68EC0BE6" w14:textId="536DA9F9" w:rsidR="00802078" w:rsidRDefault="005241BF" w:rsidP="00C67D30">
      <w:pPr>
        <w:pStyle w:val="ListParagraph"/>
        <w:numPr>
          <w:ilvl w:val="0"/>
          <w:numId w:val="1"/>
        </w:numPr>
      </w:pPr>
      <w:r>
        <w:t xml:space="preserve">Joshua and </w:t>
      </w:r>
      <w:r w:rsidR="00776AD3">
        <w:t>The Conquest of Canaan</w:t>
      </w:r>
      <w:r>
        <w:t xml:space="preserve">: </w:t>
      </w:r>
    </w:p>
    <w:p w14:paraId="7DAB39EC" w14:textId="6C85E7BF" w:rsidR="005241BF" w:rsidRDefault="005241BF" w:rsidP="00802078">
      <w:pPr>
        <w:pStyle w:val="ListParagraph"/>
        <w:numPr>
          <w:ilvl w:val="1"/>
          <w:numId w:val="1"/>
        </w:numPr>
      </w:pPr>
      <w:r w:rsidRPr="005241BF">
        <w:t>Joshua 1:1–</w:t>
      </w:r>
      <w:r>
        <w:t>3</w:t>
      </w:r>
      <w:r w:rsidRPr="005241BF">
        <w:t xml:space="preserve">: </w:t>
      </w:r>
      <w:r w:rsidRPr="005241BF">
        <w:rPr>
          <w:i/>
          <w:iCs/>
        </w:rPr>
        <w:t>After the death of Moses the servant of the Lord, the Lord said to Joshua the son of Nun, Moses’ assistant,</w:t>
      </w:r>
      <w:r w:rsidRPr="005241BF">
        <w:rPr>
          <w:i/>
          <w:iCs/>
          <w:vertAlign w:val="superscript"/>
        </w:rPr>
        <w:t xml:space="preserve"> 2</w:t>
      </w:r>
      <w:r w:rsidRPr="005241BF">
        <w:rPr>
          <w:i/>
          <w:iCs/>
        </w:rPr>
        <w:t xml:space="preserve"> “Moses my servant is dead. Now therefore arise, go over this Jordan, you and all this people, into the land that I am giving to them, to the people of Israel. </w:t>
      </w:r>
      <w:r w:rsidRPr="005241BF">
        <w:rPr>
          <w:i/>
          <w:iCs/>
          <w:vertAlign w:val="superscript"/>
        </w:rPr>
        <w:t>3</w:t>
      </w:r>
      <w:r w:rsidRPr="005241BF">
        <w:rPr>
          <w:i/>
          <w:iCs/>
        </w:rPr>
        <w:t> Every place that the sole of your foot will tread upon I have given to you, just as I promised to Moses.</w:t>
      </w:r>
    </w:p>
    <w:p w14:paraId="526729D1" w14:textId="6122BF19" w:rsidR="004F0267" w:rsidRDefault="00C67D30" w:rsidP="004F0267">
      <w:pPr>
        <w:pStyle w:val="ListParagraph"/>
        <w:numPr>
          <w:ilvl w:val="1"/>
          <w:numId w:val="1"/>
        </w:numPr>
      </w:pPr>
      <w:r>
        <w:t>Jericho</w:t>
      </w:r>
      <w:r w:rsidR="005241BF">
        <w:t xml:space="preserve">: </w:t>
      </w:r>
      <w:r w:rsidR="00802078" w:rsidRPr="005241BF">
        <w:rPr>
          <w:i/>
          <w:iCs/>
        </w:rPr>
        <w:t>“And it came to pass, when the people heard the sound of the trumpet, and the people shouted with a great shout, that the wall fell down flat, so that the people went up into the city, every man straight before him, and they took the city…. And they burnt the city with fire and all that was therein” (Josh. 6).</w:t>
      </w:r>
    </w:p>
    <w:p w14:paraId="6B893E72" w14:textId="667C8780" w:rsidR="00C67D30" w:rsidRDefault="00802078" w:rsidP="004F0267">
      <w:pPr>
        <w:pStyle w:val="ListParagraph"/>
        <w:numPr>
          <w:ilvl w:val="2"/>
          <w:numId w:val="1"/>
        </w:numPr>
      </w:pPr>
      <w:r>
        <w:t xml:space="preserve">Dr. Kathleen M. Kenyon declared: </w:t>
      </w:r>
      <w:r w:rsidRPr="004F0267">
        <w:rPr>
          <w:i/>
          <w:iCs/>
        </w:rPr>
        <w:t>“Jericho can lay claim to being by far the oldest city in the world.”</w:t>
      </w:r>
    </w:p>
    <w:p w14:paraId="020839F6" w14:textId="77777777" w:rsidR="007203EE" w:rsidRDefault="00802078" w:rsidP="004F0267">
      <w:pPr>
        <w:pStyle w:val="ListParagraph"/>
        <w:numPr>
          <w:ilvl w:val="2"/>
          <w:numId w:val="1"/>
        </w:numPr>
      </w:pPr>
      <w:r>
        <w:t xml:space="preserve">Jericho was the first strong point to be overcome on the way to the Promised Land. </w:t>
      </w:r>
      <w:r w:rsidR="00CD68BD">
        <w:t>According to her findings the walls of Jericho had to be rebuilt during the Bronze Age no less than seventeen times. The walls were repeatedly destroyed either by earthquakes or by erosion.</w:t>
      </w:r>
    </w:p>
    <w:p w14:paraId="428E1BA6" w14:textId="7CF5F014" w:rsidR="00145EC7" w:rsidRDefault="00CD68BD" w:rsidP="007203EE">
      <w:pPr>
        <w:pStyle w:val="ListParagraph"/>
        <w:ind w:left="2160"/>
      </w:pPr>
      <w:r>
        <w:t xml:space="preserve"> </w:t>
      </w:r>
    </w:p>
    <w:p w14:paraId="32D4C0AF" w14:textId="77777777" w:rsidR="00340A71" w:rsidRDefault="00145EC7" w:rsidP="00340A71">
      <w:pPr>
        <w:pStyle w:val="ListParagraph"/>
        <w:numPr>
          <w:ilvl w:val="0"/>
          <w:numId w:val="1"/>
        </w:numPr>
      </w:pPr>
      <w:r>
        <w:t>The Judges</w:t>
      </w:r>
    </w:p>
    <w:p w14:paraId="759F014D" w14:textId="77777777" w:rsidR="00340A71" w:rsidRDefault="00340A71" w:rsidP="00340A71">
      <w:pPr>
        <w:pStyle w:val="ListParagraph"/>
        <w:numPr>
          <w:ilvl w:val="1"/>
          <w:numId w:val="1"/>
        </w:numPr>
      </w:pPr>
      <w:r>
        <w:t>The Book of Judges</w:t>
      </w:r>
    </w:p>
    <w:p w14:paraId="3CEFF358" w14:textId="56D1B887" w:rsidR="00340A71" w:rsidRDefault="00340A71" w:rsidP="00340A71">
      <w:pPr>
        <w:pStyle w:val="ListParagraph"/>
        <w:numPr>
          <w:ilvl w:val="2"/>
          <w:numId w:val="1"/>
        </w:numPr>
      </w:pPr>
      <w:r w:rsidRPr="00340A71">
        <w:t xml:space="preserve">Judges 2:7–8: </w:t>
      </w:r>
      <w:r w:rsidRPr="00340A71">
        <w:rPr>
          <w:i/>
          <w:iCs/>
        </w:rPr>
        <w:t xml:space="preserve">And the people served the Lord all the days of Joshua, and all the days of the elders who outlived Joshua, who had seen all the great work that the Lord had done for Israel. </w:t>
      </w:r>
      <w:r w:rsidRPr="00340A71">
        <w:rPr>
          <w:i/>
          <w:iCs/>
          <w:vertAlign w:val="superscript"/>
        </w:rPr>
        <w:t>8</w:t>
      </w:r>
      <w:r w:rsidRPr="00340A71">
        <w:rPr>
          <w:i/>
          <w:iCs/>
        </w:rPr>
        <w:t> And Joshua the son of Nun, the servant of the Lord, died at the age of 110 years.</w:t>
      </w:r>
    </w:p>
    <w:p w14:paraId="1EEFAC96" w14:textId="46A0FF17" w:rsidR="00340A71" w:rsidRDefault="00340A71" w:rsidP="00340A71">
      <w:pPr>
        <w:pStyle w:val="ListParagraph"/>
        <w:numPr>
          <w:ilvl w:val="2"/>
          <w:numId w:val="1"/>
        </w:numPr>
      </w:pPr>
      <w:r w:rsidRPr="00340A71">
        <w:t xml:space="preserve">Judges 2:11–13: </w:t>
      </w:r>
      <w:r w:rsidRPr="00340A71">
        <w:rPr>
          <w:i/>
          <w:iCs/>
        </w:rPr>
        <w:t xml:space="preserve">And the people of Israel did what was evil in the sight of the Lord and served the Baals. </w:t>
      </w:r>
      <w:r w:rsidRPr="00340A71">
        <w:rPr>
          <w:i/>
          <w:iCs/>
          <w:vertAlign w:val="superscript"/>
        </w:rPr>
        <w:t>12 </w:t>
      </w:r>
      <w:r w:rsidRPr="00340A71">
        <w:rPr>
          <w:i/>
          <w:iCs/>
        </w:rPr>
        <w:t xml:space="preserve">And they abandoned the Lord, the God of their fathers, who had brought them out of the land of Egypt. They went after other gods, from among the gods of the peoples who were around them, and bowed down to them. And they provoked the Lord to anger. </w:t>
      </w:r>
      <w:r w:rsidRPr="00340A71">
        <w:rPr>
          <w:i/>
          <w:iCs/>
          <w:vertAlign w:val="superscript"/>
        </w:rPr>
        <w:t>13</w:t>
      </w:r>
      <w:r w:rsidRPr="00340A71">
        <w:rPr>
          <w:i/>
          <w:iCs/>
        </w:rPr>
        <w:t> They abandoned the Lord and served the Baals and the Ashtaroth.</w:t>
      </w:r>
    </w:p>
    <w:p w14:paraId="3818C08F" w14:textId="2966EC59" w:rsidR="004F0267" w:rsidRDefault="00340A71" w:rsidP="00E60143">
      <w:pPr>
        <w:pStyle w:val="ListParagraph"/>
        <w:numPr>
          <w:ilvl w:val="2"/>
          <w:numId w:val="1"/>
        </w:numPr>
      </w:pPr>
      <w:r w:rsidRPr="00340A71">
        <w:t>Judges 2:14</w:t>
      </w:r>
      <w:r>
        <w:t>, 16</w:t>
      </w:r>
      <w:r w:rsidRPr="00340A71">
        <w:t xml:space="preserve">: </w:t>
      </w:r>
      <w:r w:rsidRPr="00340A71">
        <w:rPr>
          <w:i/>
          <w:iCs/>
        </w:rPr>
        <w:t>So the anger of the Lord was kindled against Israel, and he gave them over to plunderers, who plundered them….</w:t>
      </w:r>
      <w:r w:rsidRPr="00340A71">
        <w:rPr>
          <w:i/>
          <w:iCs/>
          <w:vertAlign w:val="superscript"/>
        </w:rPr>
        <w:t>16 </w:t>
      </w:r>
      <w:r w:rsidRPr="00340A71">
        <w:rPr>
          <w:i/>
          <w:iCs/>
        </w:rPr>
        <w:t>Then the Lord raised up judges, who saved them out of the hand of those who plundered them.</w:t>
      </w:r>
      <w:r w:rsidRPr="00340A71">
        <w:t xml:space="preserve"> </w:t>
      </w:r>
    </w:p>
    <w:p w14:paraId="44D05879" w14:textId="1B49C53C" w:rsidR="00E60143" w:rsidRDefault="00340A71" w:rsidP="004F0267">
      <w:pPr>
        <w:pStyle w:val="ListParagraph"/>
        <w:numPr>
          <w:ilvl w:val="1"/>
          <w:numId w:val="1"/>
        </w:numPr>
      </w:pPr>
      <w:r w:rsidRPr="004F0267">
        <w:rPr>
          <w:i/>
        </w:rPr>
        <w:t xml:space="preserve">The Temptation of </w:t>
      </w:r>
      <w:r w:rsidR="00145EC7" w:rsidRPr="004F0267">
        <w:rPr>
          <w:i/>
        </w:rPr>
        <w:t>Canaanite</w:t>
      </w:r>
      <w:r w:rsidRPr="004F0267">
        <w:rPr>
          <w:i/>
        </w:rPr>
        <w:t xml:space="preserve"> Culture</w:t>
      </w:r>
      <w:r w:rsidR="00145EC7" w:rsidRPr="004F0267">
        <w:rPr>
          <w:i/>
        </w:rPr>
        <w:t>.</w:t>
      </w:r>
      <w:r w:rsidR="00145EC7" w:rsidRPr="00340A71">
        <w:t xml:space="preserve"> </w:t>
      </w:r>
    </w:p>
    <w:p w14:paraId="78204A36" w14:textId="67543EB4" w:rsidR="004F0267" w:rsidRDefault="004F0267" w:rsidP="004F0267">
      <w:pPr>
        <w:pStyle w:val="ListParagraph"/>
        <w:numPr>
          <w:ilvl w:val="1"/>
          <w:numId w:val="1"/>
        </w:numPr>
      </w:pPr>
      <w:r>
        <w:t>The Judges, their tribes and oppressors</w:t>
      </w:r>
    </w:p>
    <w:p w14:paraId="25F677A7" w14:textId="45E626A6" w:rsidR="004F0267" w:rsidRDefault="004F0267" w:rsidP="004F0267">
      <w:pPr>
        <w:ind w:left="360"/>
      </w:pPr>
    </w:p>
    <w:p w14:paraId="296597BB" w14:textId="482F0DC8" w:rsidR="007203EE" w:rsidRDefault="007203EE" w:rsidP="004F0267">
      <w:pPr>
        <w:ind w:left="360"/>
      </w:pPr>
    </w:p>
    <w:p w14:paraId="50308294" w14:textId="20BE9055" w:rsidR="007203EE" w:rsidRDefault="007203EE" w:rsidP="004F0267">
      <w:pPr>
        <w:ind w:left="360"/>
      </w:pPr>
    </w:p>
    <w:p w14:paraId="49B3C959" w14:textId="05E2C291" w:rsidR="007203EE" w:rsidRDefault="007203EE" w:rsidP="004F0267">
      <w:pPr>
        <w:ind w:left="360"/>
      </w:pPr>
    </w:p>
    <w:p w14:paraId="674EF8A2" w14:textId="04D1BE90" w:rsidR="007203EE" w:rsidRDefault="007203EE" w:rsidP="004F0267">
      <w:pPr>
        <w:ind w:left="360"/>
      </w:pPr>
    </w:p>
    <w:p w14:paraId="7D884B76" w14:textId="0CD29964" w:rsidR="007203EE" w:rsidRDefault="007203EE" w:rsidP="004F0267">
      <w:pPr>
        <w:ind w:left="360"/>
      </w:pPr>
    </w:p>
    <w:p w14:paraId="06534209" w14:textId="3522D0E4" w:rsidR="007203EE" w:rsidRDefault="007203EE" w:rsidP="004F0267">
      <w:pPr>
        <w:ind w:left="360"/>
      </w:pPr>
    </w:p>
    <w:p w14:paraId="13B496FE" w14:textId="77777777" w:rsidR="007203EE" w:rsidRDefault="007203EE" w:rsidP="004F0267">
      <w:pPr>
        <w:ind w:left="360"/>
      </w:pPr>
    </w:p>
    <w:tbl>
      <w:tblPr>
        <w:tblW w:w="10806" w:type="dxa"/>
        <w:tblLayout w:type="fixed"/>
        <w:tblCellMar>
          <w:left w:w="0" w:type="dxa"/>
          <w:right w:w="0" w:type="dxa"/>
        </w:tblCellMar>
        <w:tblLook w:val="0000" w:firstRow="0" w:lastRow="0" w:firstColumn="0" w:lastColumn="0" w:noHBand="0" w:noVBand="0"/>
      </w:tblPr>
      <w:tblGrid>
        <w:gridCol w:w="1544"/>
        <w:gridCol w:w="1544"/>
        <w:gridCol w:w="2204"/>
        <w:gridCol w:w="2252"/>
        <w:gridCol w:w="174"/>
        <w:gridCol w:w="1544"/>
        <w:gridCol w:w="1544"/>
      </w:tblGrid>
      <w:tr w:rsidR="0068250E" w:rsidRPr="0068250E" w14:paraId="3EED3050" w14:textId="77777777" w:rsidTr="00E60143">
        <w:trPr>
          <w:trHeight w:val="262"/>
        </w:trPr>
        <w:tc>
          <w:tcPr>
            <w:tcW w:w="1544" w:type="dxa"/>
            <w:tcBorders>
              <w:top w:val="nil"/>
              <w:left w:val="nil"/>
              <w:bottom w:val="nil"/>
              <w:right w:val="nil"/>
            </w:tcBorders>
          </w:tcPr>
          <w:p w14:paraId="3ED804B0" w14:textId="47AF4CC8" w:rsidR="0068250E" w:rsidRPr="0068250E" w:rsidRDefault="00E60143" w:rsidP="0068250E">
            <w:pPr>
              <w:autoSpaceDE w:val="0"/>
              <w:autoSpaceDN w:val="0"/>
              <w:adjustRightInd w:val="0"/>
              <w:rPr>
                <w:rFonts w:cs="Times New Roman"/>
                <w:b/>
                <w:bCs/>
                <w:u w:val="single"/>
              </w:rPr>
            </w:pPr>
            <w:r w:rsidRPr="00E60143">
              <w:rPr>
                <w:rFonts w:cs="Times New Roman"/>
                <w:b/>
                <w:bCs/>
                <w:u w:val="single"/>
              </w:rPr>
              <w:t xml:space="preserve">Judge </w:t>
            </w:r>
          </w:p>
        </w:tc>
        <w:tc>
          <w:tcPr>
            <w:tcW w:w="1544" w:type="dxa"/>
            <w:tcBorders>
              <w:top w:val="nil"/>
              <w:left w:val="nil"/>
              <w:bottom w:val="nil"/>
              <w:right w:val="nil"/>
            </w:tcBorders>
          </w:tcPr>
          <w:p w14:paraId="0038979A" w14:textId="77777777" w:rsidR="0068250E" w:rsidRPr="0068250E" w:rsidRDefault="0068250E" w:rsidP="0068250E">
            <w:pPr>
              <w:autoSpaceDE w:val="0"/>
              <w:autoSpaceDN w:val="0"/>
              <w:adjustRightInd w:val="0"/>
              <w:rPr>
                <w:rFonts w:cs="Times New Roman"/>
                <w:b/>
                <w:bCs/>
                <w:u w:val="single"/>
              </w:rPr>
            </w:pPr>
          </w:p>
        </w:tc>
        <w:tc>
          <w:tcPr>
            <w:tcW w:w="2204" w:type="dxa"/>
            <w:tcBorders>
              <w:top w:val="nil"/>
              <w:left w:val="nil"/>
              <w:bottom w:val="nil"/>
              <w:right w:val="nil"/>
            </w:tcBorders>
          </w:tcPr>
          <w:p w14:paraId="161CA340" w14:textId="15510312" w:rsidR="0068250E" w:rsidRPr="0068250E" w:rsidRDefault="00E60143" w:rsidP="0068250E">
            <w:pPr>
              <w:autoSpaceDE w:val="0"/>
              <w:autoSpaceDN w:val="0"/>
              <w:adjustRightInd w:val="0"/>
              <w:rPr>
                <w:rFonts w:cs="Times New Roman"/>
                <w:b/>
                <w:bCs/>
                <w:u w:val="single"/>
              </w:rPr>
            </w:pPr>
            <w:r w:rsidRPr="00E60143">
              <w:rPr>
                <w:rFonts w:cs="Times New Roman"/>
                <w:b/>
                <w:bCs/>
                <w:u w:val="single"/>
              </w:rPr>
              <w:t xml:space="preserve">Tribe </w:t>
            </w:r>
          </w:p>
        </w:tc>
        <w:tc>
          <w:tcPr>
            <w:tcW w:w="2252" w:type="dxa"/>
            <w:tcBorders>
              <w:top w:val="nil"/>
              <w:left w:val="nil"/>
              <w:bottom w:val="nil"/>
              <w:right w:val="nil"/>
            </w:tcBorders>
          </w:tcPr>
          <w:p w14:paraId="6E7B374D" w14:textId="77777777" w:rsidR="0068250E" w:rsidRDefault="00E60143" w:rsidP="0068250E">
            <w:pPr>
              <w:autoSpaceDE w:val="0"/>
              <w:autoSpaceDN w:val="0"/>
              <w:adjustRightInd w:val="0"/>
              <w:rPr>
                <w:rFonts w:cs="Times New Roman"/>
                <w:b/>
                <w:bCs/>
                <w:u w:val="single"/>
              </w:rPr>
            </w:pPr>
            <w:r w:rsidRPr="00E60143">
              <w:rPr>
                <w:rFonts w:cs="Times New Roman"/>
                <w:b/>
                <w:bCs/>
                <w:u w:val="single"/>
              </w:rPr>
              <w:t>Encounter</w:t>
            </w:r>
          </w:p>
          <w:p w14:paraId="63AF797C" w14:textId="2B581DC7" w:rsidR="007203EE" w:rsidRPr="0068250E" w:rsidRDefault="007203EE" w:rsidP="0068250E">
            <w:pPr>
              <w:autoSpaceDE w:val="0"/>
              <w:autoSpaceDN w:val="0"/>
              <w:adjustRightInd w:val="0"/>
              <w:rPr>
                <w:rFonts w:cs="Times New Roman"/>
                <w:b/>
                <w:bCs/>
                <w:u w:val="single"/>
              </w:rPr>
            </w:pPr>
          </w:p>
        </w:tc>
        <w:tc>
          <w:tcPr>
            <w:tcW w:w="174" w:type="dxa"/>
            <w:tcBorders>
              <w:top w:val="nil"/>
              <w:left w:val="nil"/>
              <w:bottom w:val="nil"/>
              <w:right w:val="nil"/>
            </w:tcBorders>
          </w:tcPr>
          <w:p w14:paraId="5DD46AD6" w14:textId="77777777" w:rsidR="0068250E" w:rsidRPr="0068250E" w:rsidRDefault="0068250E" w:rsidP="0068250E">
            <w:pPr>
              <w:autoSpaceDE w:val="0"/>
              <w:autoSpaceDN w:val="0"/>
              <w:adjustRightInd w:val="0"/>
              <w:rPr>
                <w:rFonts w:ascii="Calibri" w:hAnsi="Calibri" w:cs="Calibri"/>
              </w:rPr>
            </w:pPr>
          </w:p>
        </w:tc>
        <w:tc>
          <w:tcPr>
            <w:tcW w:w="1544" w:type="dxa"/>
            <w:tcBorders>
              <w:top w:val="nil"/>
              <w:left w:val="nil"/>
              <w:bottom w:val="nil"/>
              <w:right w:val="nil"/>
            </w:tcBorders>
          </w:tcPr>
          <w:p w14:paraId="39136929" w14:textId="77777777" w:rsidR="0068250E" w:rsidRPr="0068250E" w:rsidRDefault="0068250E" w:rsidP="0068250E">
            <w:pPr>
              <w:autoSpaceDE w:val="0"/>
              <w:autoSpaceDN w:val="0"/>
              <w:adjustRightInd w:val="0"/>
              <w:rPr>
                <w:rFonts w:ascii="Calibri" w:hAnsi="Calibri" w:cs="Calibri"/>
              </w:rPr>
            </w:pPr>
          </w:p>
        </w:tc>
        <w:tc>
          <w:tcPr>
            <w:tcW w:w="1544" w:type="dxa"/>
            <w:tcBorders>
              <w:top w:val="nil"/>
              <w:left w:val="nil"/>
              <w:bottom w:val="nil"/>
              <w:right w:val="nil"/>
            </w:tcBorders>
          </w:tcPr>
          <w:p w14:paraId="38B6266F" w14:textId="77777777" w:rsidR="0068250E" w:rsidRPr="0068250E" w:rsidRDefault="0068250E" w:rsidP="0068250E">
            <w:pPr>
              <w:autoSpaceDE w:val="0"/>
              <w:autoSpaceDN w:val="0"/>
              <w:adjustRightInd w:val="0"/>
              <w:rPr>
                <w:rFonts w:ascii="Calibri" w:hAnsi="Calibri" w:cs="Calibri"/>
              </w:rPr>
            </w:pPr>
          </w:p>
        </w:tc>
      </w:tr>
      <w:tr w:rsidR="0068250E" w:rsidRPr="0068250E" w14:paraId="66A3DAD5" w14:textId="77777777" w:rsidTr="00E60143">
        <w:trPr>
          <w:gridAfter w:val="3"/>
          <w:wAfter w:w="3262" w:type="dxa"/>
          <w:trHeight w:val="514"/>
        </w:trPr>
        <w:tc>
          <w:tcPr>
            <w:tcW w:w="1544" w:type="dxa"/>
            <w:tcBorders>
              <w:top w:val="nil"/>
              <w:left w:val="nil"/>
              <w:bottom w:val="nil"/>
              <w:right w:val="nil"/>
            </w:tcBorders>
          </w:tcPr>
          <w:p w14:paraId="2C634B8C" w14:textId="77777777" w:rsidR="0068250E" w:rsidRPr="0068250E" w:rsidRDefault="0068250E" w:rsidP="0068250E">
            <w:pPr>
              <w:autoSpaceDE w:val="0"/>
              <w:autoSpaceDN w:val="0"/>
              <w:adjustRightInd w:val="0"/>
              <w:jc w:val="both"/>
              <w:rPr>
                <w:rFonts w:cs="Times New Roman"/>
              </w:rPr>
            </w:pPr>
            <w:r w:rsidRPr="0068250E">
              <w:rPr>
                <w:rFonts w:cs="Times New Roman"/>
              </w:rPr>
              <w:t>Othniel</w:t>
            </w:r>
          </w:p>
          <w:p w14:paraId="78561592"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19866878" w14:textId="77777777" w:rsidR="0068250E" w:rsidRPr="0068250E" w:rsidRDefault="0068250E" w:rsidP="0068250E">
            <w:pPr>
              <w:autoSpaceDE w:val="0"/>
              <w:autoSpaceDN w:val="0"/>
              <w:adjustRightInd w:val="0"/>
              <w:jc w:val="both"/>
              <w:rPr>
                <w:rFonts w:cs="Times New Roman"/>
              </w:rPr>
            </w:pPr>
            <w:r w:rsidRPr="0068250E">
              <w:rPr>
                <w:rFonts w:cs="Times New Roman"/>
              </w:rPr>
              <w:t>3:7–11</w:t>
            </w:r>
          </w:p>
          <w:p w14:paraId="546282C2"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623F2B09" w14:textId="77777777" w:rsidR="0068250E" w:rsidRPr="0068250E" w:rsidRDefault="0068250E" w:rsidP="0068250E">
            <w:pPr>
              <w:autoSpaceDE w:val="0"/>
              <w:autoSpaceDN w:val="0"/>
              <w:adjustRightInd w:val="0"/>
              <w:jc w:val="both"/>
              <w:rPr>
                <w:rFonts w:cs="Times New Roman"/>
              </w:rPr>
            </w:pPr>
            <w:r w:rsidRPr="0068250E">
              <w:rPr>
                <w:rFonts w:cs="Times New Roman"/>
              </w:rPr>
              <w:t>Judah</w:t>
            </w:r>
          </w:p>
          <w:p w14:paraId="2C62DAF4"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67767E95" w14:textId="77777777" w:rsidR="0068250E" w:rsidRPr="0068250E" w:rsidRDefault="0068250E" w:rsidP="0068250E">
            <w:pPr>
              <w:autoSpaceDE w:val="0"/>
              <w:autoSpaceDN w:val="0"/>
              <w:adjustRightInd w:val="0"/>
              <w:jc w:val="both"/>
              <w:rPr>
                <w:rFonts w:cs="Times New Roman"/>
              </w:rPr>
            </w:pPr>
            <w:r w:rsidRPr="0068250E">
              <w:rPr>
                <w:rFonts w:cs="Times New Roman"/>
              </w:rPr>
              <w:t>Mesopotamians</w:t>
            </w:r>
          </w:p>
          <w:p w14:paraId="47E2FFF5" w14:textId="77777777" w:rsidR="0068250E" w:rsidRPr="0068250E" w:rsidRDefault="0068250E" w:rsidP="0068250E">
            <w:pPr>
              <w:autoSpaceDE w:val="0"/>
              <w:autoSpaceDN w:val="0"/>
              <w:adjustRightInd w:val="0"/>
              <w:jc w:val="both"/>
              <w:rPr>
                <w:rFonts w:cs="Times New Roman"/>
              </w:rPr>
            </w:pPr>
          </w:p>
        </w:tc>
      </w:tr>
      <w:tr w:rsidR="0068250E" w:rsidRPr="0068250E" w14:paraId="1ADC1F08" w14:textId="77777777" w:rsidTr="00E60143">
        <w:trPr>
          <w:gridAfter w:val="3"/>
          <w:wAfter w:w="3262" w:type="dxa"/>
          <w:trHeight w:val="514"/>
        </w:trPr>
        <w:tc>
          <w:tcPr>
            <w:tcW w:w="1544" w:type="dxa"/>
            <w:tcBorders>
              <w:top w:val="nil"/>
              <w:left w:val="nil"/>
              <w:bottom w:val="nil"/>
              <w:right w:val="nil"/>
            </w:tcBorders>
          </w:tcPr>
          <w:p w14:paraId="370EFA37" w14:textId="77777777" w:rsidR="0068250E" w:rsidRPr="0068250E" w:rsidRDefault="0068250E" w:rsidP="0068250E">
            <w:pPr>
              <w:autoSpaceDE w:val="0"/>
              <w:autoSpaceDN w:val="0"/>
              <w:adjustRightInd w:val="0"/>
              <w:jc w:val="both"/>
              <w:rPr>
                <w:rFonts w:cs="Times New Roman"/>
              </w:rPr>
            </w:pPr>
            <w:r w:rsidRPr="0068250E">
              <w:rPr>
                <w:rFonts w:cs="Times New Roman"/>
              </w:rPr>
              <w:t>Ehud</w:t>
            </w:r>
          </w:p>
          <w:p w14:paraId="54A1EBD7"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62E18B78" w14:textId="77777777" w:rsidR="0068250E" w:rsidRPr="0068250E" w:rsidRDefault="0068250E" w:rsidP="0068250E">
            <w:pPr>
              <w:autoSpaceDE w:val="0"/>
              <w:autoSpaceDN w:val="0"/>
              <w:adjustRightInd w:val="0"/>
              <w:jc w:val="both"/>
              <w:rPr>
                <w:rFonts w:cs="Times New Roman"/>
              </w:rPr>
            </w:pPr>
            <w:r w:rsidRPr="0068250E">
              <w:rPr>
                <w:rFonts w:cs="Times New Roman"/>
              </w:rPr>
              <w:t>3:12–30</w:t>
            </w:r>
          </w:p>
          <w:p w14:paraId="01B057CF"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6525522D" w14:textId="77777777" w:rsidR="0068250E" w:rsidRPr="0068250E" w:rsidRDefault="0068250E" w:rsidP="0068250E">
            <w:pPr>
              <w:autoSpaceDE w:val="0"/>
              <w:autoSpaceDN w:val="0"/>
              <w:adjustRightInd w:val="0"/>
              <w:jc w:val="both"/>
              <w:rPr>
                <w:rFonts w:cs="Times New Roman"/>
              </w:rPr>
            </w:pPr>
            <w:r w:rsidRPr="0068250E">
              <w:rPr>
                <w:rFonts w:cs="Times New Roman"/>
              </w:rPr>
              <w:t>Benjamin</w:t>
            </w:r>
          </w:p>
          <w:p w14:paraId="63CE681B"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007CC9E6" w14:textId="77777777" w:rsidR="0068250E" w:rsidRPr="0068250E" w:rsidRDefault="0068250E" w:rsidP="0068250E">
            <w:pPr>
              <w:autoSpaceDE w:val="0"/>
              <w:autoSpaceDN w:val="0"/>
              <w:adjustRightInd w:val="0"/>
              <w:jc w:val="both"/>
              <w:rPr>
                <w:rFonts w:cs="Times New Roman"/>
              </w:rPr>
            </w:pPr>
            <w:r w:rsidRPr="0068250E">
              <w:rPr>
                <w:rFonts w:cs="Times New Roman"/>
              </w:rPr>
              <w:t>Moabites</w:t>
            </w:r>
          </w:p>
          <w:p w14:paraId="4E5A3A38" w14:textId="77777777" w:rsidR="0068250E" w:rsidRPr="0068250E" w:rsidRDefault="0068250E" w:rsidP="0068250E">
            <w:pPr>
              <w:autoSpaceDE w:val="0"/>
              <w:autoSpaceDN w:val="0"/>
              <w:adjustRightInd w:val="0"/>
              <w:jc w:val="both"/>
              <w:rPr>
                <w:rFonts w:cs="Times New Roman"/>
              </w:rPr>
            </w:pPr>
          </w:p>
        </w:tc>
      </w:tr>
      <w:tr w:rsidR="0068250E" w:rsidRPr="0068250E" w14:paraId="3854DF18" w14:textId="77777777" w:rsidTr="00E60143">
        <w:trPr>
          <w:gridAfter w:val="3"/>
          <w:wAfter w:w="3262" w:type="dxa"/>
          <w:trHeight w:val="514"/>
        </w:trPr>
        <w:tc>
          <w:tcPr>
            <w:tcW w:w="1544" w:type="dxa"/>
            <w:tcBorders>
              <w:top w:val="nil"/>
              <w:left w:val="nil"/>
              <w:bottom w:val="nil"/>
              <w:right w:val="nil"/>
            </w:tcBorders>
          </w:tcPr>
          <w:p w14:paraId="099F2B69" w14:textId="77777777" w:rsidR="0068250E" w:rsidRPr="0068250E" w:rsidRDefault="0068250E" w:rsidP="0068250E">
            <w:pPr>
              <w:autoSpaceDE w:val="0"/>
              <w:autoSpaceDN w:val="0"/>
              <w:adjustRightInd w:val="0"/>
              <w:jc w:val="both"/>
              <w:rPr>
                <w:rFonts w:cs="Times New Roman"/>
              </w:rPr>
            </w:pPr>
            <w:r w:rsidRPr="0068250E">
              <w:rPr>
                <w:rFonts w:cs="Times New Roman"/>
              </w:rPr>
              <w:t>Shamgar</w:t>
            </w:r>
          </w:p>
          <w:p w14:paraId="3A5102C8"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50E48FDE" w14:textId="77777777" w:rsidR="0068250E" w:rsidRPr="0068250E" w:rsidRDefault="0068250E" w:rsidP="0068250E">
            <w:pPr>
              <w:autoSpaceDE w:val="0"/>
              <w:autoSpaceDN w:val="0"/>
              <w:adjustRightInd w:val="0"/>
              <w:jc w:val="both"/>
              <w:rPr>
                <w:rFonts w:cs="Times New Roman"/>
              </w:rPr>
            </w:pPr>
            <w:r w:rsidRPr="0068250E">
              <w:rPr>
                <w:rFonts w:cs="Times New Roman"/>
              </w:rPr>
              <w:t>3:31</w:t>
            </w:r>
          </w:p>
          <w:p w14:paraId="6B700FFD"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45223CAB"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4D7E4B5B" w14:textId="77777777" w:rsidR="0068250E" w:rsidRPr="0068250E" w:rsidRDefault="0068250E" w:rsidP="0068250E">
            <w:pPr>
              <w:autoSpaceDE w:val="0"/>
              <w:autoSpaceDN w:val="0"/>
              <w:adjustRightInd w:val="0"/>
              <w:jc w:val="both"/>
              <w:rPr>
                <w:rFonts w:cs="Times New Roman"/>
              </w:rPr>
            </w:pPr>
            <w:r w:rsidRPr="0068250E">
              <w:rPr>
                <w:rFonts w:cs="Times New Roman"/>
              </w:rPr>
              <w:t>Philistines</w:t>
            </w:r>
          </w:p>
          <w:p w14:paraId="011DB6BB" w14:textId="77777777" w:rsidR="0068250E" w:rsidRPr="0068250E" w:rsidRDefault="0068250E" w:rsidP="0068250E">
            <w:pPr>
              <w:autoSpaceDE w:val="0"/>
              <w:autoSpaceDN w:val="0"/>
              <w:adjustRightInd w:val="0"/>
              <w:jc w:val="both"/>
              <w:rPr>
                <w:rFonts w:cs="Times New Roman"/>
              </w:rPr>
            </w:pPr>
          </w:p>
        </w:tc>
      </w:tr>
      <w:tr w:rsidR="0068250E" w:rsidRPr="0068250E" w14:paraId="32A6D287" w14:textId="77777777" w:rsidTr="00E60143">
        <w:trPr>
          <w:gridAfter w:val="3"/>
          <w:wAfter w:w="3262" w:type="dxa"/>
          <w:trHeight w:val="514"/>
        </w:trPr>
        <w:tc>
          <w:tcPr>
            <w:tcW w:w="1544" w:type="dxa"/>
            <w:tcBorders>
              <w:top w:val="nil"/>
              <w:left w:val="nil"/>
              <w:bottom w:val="nil"/>
              <w:right w:val="nil"/>
            </w:tcBorders>
          </w:tcPr>
          <w:p w14:paraId="2AFF7B8E" w14:textId="77777777" w:rsidR="0068250E" w:rsidRPr="0068250E" w:rsidRDefault="0068250E" w:rsidP="0068250E">
            <w:pPr>
              <w:autoSpaceDE w:val="0"/>
              <w:autoSpaceDN w:val="0"/>
              <w:adjustRightInd w:val="0"/>
              <w:jc w:val="both"/>
              <w:rPr>
                <w:rFonts w:cs="Times New Roman"/>
              </w:rPr>
            </w:pPr>
            <w:r w:rsidRPr="0068250E">
              <w:rPr>
                <w:rFonts w:cs="Times New Roman"/>
              </w:rPr>
              <w:t>Deborah</w:t>
            </w:r>
          </w:p>
          <w:p w14:paraId="2633B647"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28E48468" w14:textId="77777777" w:rsidR="0068250E" w:rsidRPr="0068250E" w:rsidRDefault="0068250E" w:rsidP="0068250E">
            <w:pPr>
              <w:autoSpaceDE w:val="0"/>
              <w:autoSpaceDN w:val="0"/>
              <w:adjustRightInd w:val="0"/>
              <w:jc w:val="both"/>
              <w:rPr>
                <w:rFonts w:cs="Times New Roman"/>
              </w:rPr>
            </w:pPr>
            <w:r w:rsidRPr="0068250E">
              <w:rPr>
                <w:rFonts w:cs="Times New Roman"/>
              </w:rPr>
              <w:t>chs. 4–5</w:t>
            </w:r>
          </w:p>
          <w:p w14:paraId="61B84F9D"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76D31EF6" w14:textId="77777777" w:rsidR="0068250E" w:rsidRPr="0068250E" w:rsidRDefault="0068250E" w:rsidP="0068250E">
            <w:pPr>
              <w:autoSpaceDE w:val="0"/>
              <w:autoSpaceDN w:val="0"/>
              <w:adjustRightInd w:val="0"/>
              <w:jc w:val="both"/>
              <w:rPr>
                <w:rFonts w:cs="Times New Roman"/>
              </w:rPr>
            </w:pPr>
            <w:r w:rsidRPr="0068250E">
              <w:rPr>
                <w:rFonts w:cs="Times New Roman"/>
              </w:rPr>
              <w:t>Ephraim</w:t>
            </w:r>
          </w:p>
          <w:p w14:paraId="1C57B6E9"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6C10BFB7" w14:textId="77777777" w:rsidR="0068250E" w:rsidRPr="0068250E" w:rsidRDefault="0068250E" w:rsidP="0068250E">
            <w:pPr>
              <w:autoSpaceDE w:val="0"/>
              <w:autoSpaceDN w:val="0"/>
              <w:adjustRightInd w:val="0"/>
              <w:jc w:val="both"/>
              <w:rPr>
                <w:rFonts w:cs="Times New Roman"/>
              </w:rPr>
            </w:pPr>
            <w:r w:rsidRPr="0068250E">
              <w:rPr>
                <w:rFonts w:cs="Times New Roman"/>
              </w:rPr>
              <w:t>Canaanites</w:t>
            </w:r>
          </w:p>
          <w:p w14:paraId="5997BCBA" w14:textId="77777777" w:rsidR="0068250E" w:rsidRPr="0068250E" w:rsidRDefault="0068250E" w:rsidP="0068250E">
            <w:pPr>
              <w:autoSpaceDE w:val="0"/>
              <w:autoSpaceDN w:val="0"/>
              <w:adjustRightInd w:val="0"/>
              <w:jc w:val="both"/>
              <w:rPr>
                <w:rFonts w:cs="Times New Roman"/>
              </w:rPr>
            </w:pPr>
          </w:p>
        </w:tc>
      </w:tr>
      <w:tr w:rsidR="0068250E" w:rsidRPr="0068250E" w14:paraId="30BA8254" w14:textId="77777777" w:rsidTr="00E60143">
        <w:trPr>
          <w:gridAfter w:val="3"/>
          <w:wAfter w:w="3262" w:type="dxa"/>
          <w:trHeight w:val="514"/>
        </w:trPr>
        <w:tc>
          <w:tcPr>
            <w:tcW w:w="1544" w:type="dxa"/>
            <w:tcBorders>
              <w:top w:val="nil"/>
              <w:left w:val="nil"/>
              <w:bottom w:val="nil"/>
              <w:right w:val="nil"/>
            </w:tcBorders>
          </w:tcPr>
          <w:p w14:paraId="44E7487A" w14:textId="77777777" w:rsidR="0068250E" w:rsidRPr="0068250E" w:rsidRDefault="0068250E" w:rsidP="0068250E">
            <w:pPr>
              <w:autoSpaceDE w:val="0"/>
              <w:autoSpaceDN w:val="0"/>
              <w:adjustRightInd w:val="0"/>
              <w:jc w:val="both"/>
              <w:rPr>
                <w:rFonts w:cs="Times New Roman"/>
              </w:rPr>
            </w:pPr>
            <w:r w:rsidRPr="0068250E">
              <w:rPr>
                <w:rFonts w:cs="Times New Roman"/>
              </w:rPr>
              <w:t>Gideon</w:t>
            </w:r>
          </w:p>
          <w:p w14:paraId="77D45C70"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28EB3903" w14:textId="77777777" w:rsidR="0068250E" w:rsidRPr="0068250E" w:rsidRDefault="0068250E" w:rsidP="0068250E">
            <w:pPr>
              <w:autoSpaceDE w:val="0"/>
              <w:autoSpaceDN w:val="0"/>
              <w:adjustRightInd w:val="0"/>
              <w:jc w:val="both"/>
              <w:rPr>
                <w:rFonts w:cs="Times New Roman"/>
              </w:rPr>
            </w:pPr>
            <w:r w:rsidRPr="0068250E">
              <w:rPr>
                <w:rFonts w:cs="Times New Roman"/>
              </w:rPr>
              <w:t>chs. 6–8</w:t>
            </w:r>
          </w:p>
          <w:p w14:paraId="62F6F989"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37CFE79E" w14:textId="77777777" w:rsidR="0068250E" w:rsidRPr="0068250E" w:rsidRDefault="0068250E" w:rsidP="0068250E">
            <w:pPr>
              <w:autoSpaceDE w:val="0"/>
              <w:autoSpaceDN w:val="0"/>
              <w:adjustRightInd w:val="0"/>
              <w:jc w:val="both"/>
              <w:rPr>
                <w:rFonts w:cs="Times New Roman"/>
              </w:rPr>
            </w:pPr>
            <w:r w:rsidRPr="0068250E">
              <w:rPr>
                <w:rFonts w:cs="Times New Roman"/>
              </w:rPr>
              <w:t>Manasseh</w:t>
            </w:r>
          </w:p>
          <w:p w14:paraId="3DF572FD"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0C491E8B" w14:textId="77777777" w:rsidR="0068250E" w:rsidRPr="0068250E" w:rsidRDefault="0068250E" w:rsidP="0068250E">
            <w:pPr>
              <w:autoSpaceDE w:val="0"/>
              <w:autoSpaceDN w:val="0"/>
              <w:adjustRightInd w:val="0"/>
              <w:jc w:val="both"/>
              <w:rPr>
                <w:rFonts w:cs="Times New Roman"/>
              </w:rPr>
            </w:pPr>
            <w:r w:rsidRPr="0068250E">
              <w:rPr>
                <w:rFonts w:cs="Times New Roman"/>
              </w:rPr>
              <w:t>Midianites</w:t>
            </w:r>
          </w:p>
          <w:p w14:paraId="6C256AAC" w14:textId="77777777" w:rsidR="0068250E" w:rsidRPr="0068250E" w:rsidRDefault="0068250E" w:rsidP="0068250E">
            <w:pPr>
              <w:autoSpaceDE w:val="0"/>
              <w:autoSpaceDN w:val="0"/>
              <w:adjustRightInd w:val="0"/>
              <w:jc w:val="both"/>
              <w:rPr>
                <w:rFonts w:cs="Times New Roman"/>
              </w:rPr>
            </w:pPr>
          </w:p>
        </w:tc>
      </w:tr>
      <w:tr w:rsidR="0068250E" w:rsidRPr="0068250E" w14:paraId="6D233D1F" w14:textId="77777777" w:rsidTr="00E60143">
        <w:trPr>
          <w:gridAfter w:val="3"/>
          <w:wAfter w:w="3262" w:type="dxa"/>
          <w:trHeight w:val="514"/>
        </w:trPr>
        <w:tc>
          <w:tcPr>
            <w:tcW w:w="1544" w:type="dxa"/>
            <w:tcBorders>
              <w:top w:val="nil"/>
              <w:left w:val="nil"/>
              <w:bottom w:val="nil"/>
              <w:right w:val="nil"/>
            </w:tcBorders>
          </w:tcPr>
          <w:p w14:paraId="7E26AA47" w14:textId="77777777" w:rsidR="0068250E" w:rsidRPr="0068250E" w:rsidRDefault="0068250E" w:rsidP="0068250E">
            <w:pPr>
              <w:autoSpaceDE w:val="0"/>
              <w:autoSpaceDN w:val="0"/>
              <w:adjustRightInd w:val="0"/>
              <w:jc w:val="both"/>
              <w:rPr>
                <w:rFonts w:cs="Times New Roman"/>
              </w:rPr>
            </w:pPr>
            <w:r w:rsidRPr="0068250E">
              <w:rPr>
                <w:rFonts w:cs="Times New Roman"/>
              </w:rPr>
              <w:t>Tola</w:t>
            </w:r>
          </w:p>
          <w:p w14:paraId="2C5F56DC"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60941381" w14:textId="77777777" w:rsidR="0068250E" w:rsidRPr="0068250E" w:rsidRDefault="0068250E" w:rsidP="0068250E">
            <w:pPr>
              <w:autoSpaceDE w:val="0"/>
              <w:autoSpaceDN w:val="0"/>
              <w:adjustRightInd w:val="0"/>
              <w:jc w:val="both"/>
              <w:rPr>
                <w:rFonts w:cs="Times New Roman"/>
              </w:rPr>
            </w:pPr>
            <w:r w:rsidRPr="0068250E">
              <w:rPr>
                <w:rFonts w:cs="Times New Roman"/>
              </w:rPr>
              <w:t>10:1–2</w:t>
            </w:r>
          </w:p>
          <w:p w14:paraId="2BBD370C"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14F59284" w14:textId="77777777" w:rsidR="0068250E" w:rsidRPr="0068250E" w:rsidRDefault="0068250E" w:rsidP="0068250E">
            <w:pPr>
              <w:autoSpaceDE w:val="0"/>
              <w:autoSpaceDN w:val="0"/>
              <w:adjustRightInd w:val="0"/>
              <w:jc w:val="both"/>
              <w:rPr>
                <w:rFonts w:cs="Times New Roman"/>
              </w:rPr>
            </w:pPr>
            <w:r w:rsidRPr="0068250E">
              <w:rPr>
                <w:rFonts w:cs="Times New Roman"/>
              </w:rPr>
              <w:t>Issachar</w:t>
            </w:r>
          </w:p>
          <w:p w14:paraId="2C028C8C"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78D6B258" w14:textId="77777777" w:rsidR="0068250E" w:rsidRPr="0068250E" w:rsidRDefault="0068250E" w:rsidP="0068250E">
            <w:pPr>
              <w:autoSpaceDE w:val="0"/>
              <w:autoSpaceDN w:val="0"/>
              <w:adjustRightInd w:val="0"/>
              <w:jc w:val="both"/>
              <w:rPr>
                <w:rFonts w:cs="Times New Roman"/>
              </w:rPr>
            </w:pPr>
          </w:p>
        </w:tc>
      </w:tr>
      <w:tr w:rsidR="0068250E" w:rsidRPr="0068250E" w14:paraId="46785D26" w14:textId="77777777" w:rsidTr="00E60143">
        <w:trPr>
          <w:gridAfter w:val="3"/>
          <w:wAfter w:w="3262" w:type="dxa"/>
          <w:trHeight w:val="526"/>
        </w:trPr>
        <w:tc>
          <w:tcPr>
            <w:tcW w:w="1544" w:type="dxa"/>
            <w:tcBorders>
              <w:top w:val="nil"/>
              <w:left w:val="nil"/>
              <w:bottom w:val="nil"/>
              <w:right w:val="nil"/>
            </w:tcBorders>
          </w:tcPr>
          <w:p w14:paraId="7BECC565" w14:textId="77777777" w:rsidR="0068250E" w:rsidRPr="0068250E" w:rsidRDefault="0068250E" w:rsidP="0068250E">
            <w:pPr>
              <w:autoSpaceDE w:val="0"/>
              <w:autoSpaceDN w:val="0"/>
              <w:adjustRightInd w:val="0"/>
              <w:jc w:val="both"/>
              <w:rPr>
                <w:rFonts w:cs="Times New Roman"/>
              </w:rPr>
            </w:pPr>
            <w:r w:rsidRPr="0068250E">
              <w:rPr>
                <w:rFonts w:cs="Times New Roman"/>
              </w:rPr>
              <w:t>Jair</w:t>
            </w:r>
          </w:p>
          <w:p w14:paraId="455DACB3"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35B7365B" w14:textId="77777777" w:rsidR="0068250E" w:rsidRPr="0068250E" w:rsidRDefault="0068250E" w:rsidP="0068250E">
            <w:pPr>
              <w:autoSpaceDE w:val="0"/>
              <w:autoSpaceDN w:val="0"/>
              <w:adjustRightInd w:val="0"/>
              <w:jc w:val="both"/>
              <w:rPr>
                <w:rFonts w:cs="Times New Roman"/>
              </w:rPr>
            </w:pPr>
            <w:r w:rsidRPr="0068250E">
              <w:rPr>
                <w:rFonts w:cs="Times New Roman"/>
              </w:rPr>
              <w:t>10:3–5</w:t>
            </w:r>
          </w:p>
          <w:p w14:paraId="50AD070A"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18F3FD80" w14:textId="77777777" w:rsidR="0068250E" w:rsidRPr="0068250E" w:rsidRDefault="0068250E" w:rsidP="0068250E">
            <w:pPr>
              <w:autoSpaceDE w:val="0"/>
              <w:autoSpaceDN w:val="0"/>
              <w:adjustRightInd w:val="0"/>
              <w:jc w:val="both"/>
              <w:rPr>
                <w:rFonts w:cs="Times New Roman"/>
              </w:rPr>
            </w:pPr>
            <w:r w:rsidRPr="0068250E">
              <w:rPr>
                <w:rFonts w:cs="Times New Roman"/>
              </w:rPr>
              <w:t>Gilead-Manasseh</w:t>
            </w:r>
          </w:p>
          <w:p w14:paraId="6350DC6F"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30256C5C" w14:textId="77777777" w:rsidR="0068250E" w:rsidRPr="0068250E" w:rsidRDefault="0068250E" w:rsidP="0068250E">
            <w:pPr>
              <w:autoSpaceDE w:val="0"/>
              <w:autoSpaceDN w:val="0"/>
              <w:adjustRightInd w:val="0"/>
              <w:jc w:val="both"/>
              <w:rPr>
                <w:rFonts w:cs="Times New Roman"/>
              </w:rPr>
            </w:pPr>
          </w:p>
        </w:tc>
      </w:tr>
      <w:tr w:rsidR="0068250E" w:rsidRPr="0068250E" w14:paraId="71D8A298" w14:textId="77777777" w:rsidTr="00E60143">
        <w:trPr>
          <w:gridAfter w:val="3"/>
          <w:wAfter w:w="3262" w:type="dxa"/>
          <w:trHeight w:val="514"/>
        </w:trPr>
        <w:tc>
          <w:tcPr>
            <w:tcW w:w="1544" w:type="dxa"/>
            <w:tcBorders>
              <w:top w:val="nil"/>
              <w:left w:val="nil"/>
              <w:bottom w:val="nil"/>
              <w:right w:val="nil"/>
            </w:tcBorders>
          </w:tcPr>
          <w:p w14:paraId="129A424A" w14:textId="77777777" w:rsidR="0068250E" w:rsidRPr="0068250E" w:rsidRDefault="0068250E" w:rsidP="0068250E">
            <w:pPr>
              <w:autoSpaceDE w:val="0"/>
              <w:autoSpaceDN w:val="0"/>
              <w:adjustRightInd w:val="0"/>
              <w:jc w:val="both"/>
              <w:rPr>
                <w:rFonts w:cs="Times New Roman"/>
              </w:rPr>
            </w:pPr>
            <w:r w:rsidRPr="0068250E">
              <w:rPr>
                <w:rFonts w:cs="Times New Roman"/>
              </w:rPr>
              <w:t>Jephthah</w:t>
            </w:r>
          </w:p>
          <w:p w14:paraId="42EDCF4C"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38367C37" w14:textId="77777777" w:rsidR="0068250E" w:rsidRPr="0068250E" w:rsidRDefault="0068250E" w:rsidP="0068250E">
            <w:pPr>
              <w:autoSpaceDE w:val="0"/>
              <w:autoSpaceDN w:val="0"/>
              <w:adjustRightInd w:val="0"/>
              <w:jc w:val="both"/>
              <w:rPr>
                <w:rFonts w:cs="Times New Roman"/>
              </w:rPr>
            </w:pPr>
            <w:r w:rsidRPr="0068250E">
              <w:rPr>
                <w:rFonts w:cs="Times New Roman"/>
              </w:rPr>
              <w:t>10:6–12:7</w:t>
            </w:r>
          </w:p>
          <w:p w14:paraId="1D480926"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6F93AF00" w14:textId="77777777" w:rsidR="0068250E" w:rsidRPr="0068250E" w:rsidRDefault="0068250E" w:rsidP="0068250E">
            <w:pPr>
              <w:autoSpaceDE w:val="0"/>
              <w:autoSpaceDN w:val="0"/>
              <w:adjustRightInd w:val="0"/>
              <w:jc w:val="both"/>
              <w:rPr>
                <w:rFonts w:cs="Times New Roman"/>
              </w:rPr>
            </w:pPr>
            <w:r w:rsidRPr="0068250E">
              <w:rPr>
                <w:rFonts w:cs="Times New Roman"/>
              </w:rPr>
              <w:t>Gilead-Manasseh</w:t>
            </w:r>
          </w:p>
          <w:p w14:paraId="0FAD75AF"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0C887698" w14:textId="77777777" w:rsidR="0068250E" w:rsidRPr="0068250E" w:rsidRDefault="0068250E" w:rsidP="0068250E">
            <w:pPr>
              <w:autoSpaceDE w:val="0"/>
              <w:autoSpaceDN w:val="0"/>
              <w:adjustRightInd w:val="0"/>
              <w:jc w:val="both"/>
              <w:rPr>
                <w:rFonts w:cs="Times New Roman"/>
              </w:rPr>
            </w:pPr>
            <w:r w:rsidRPr="0068250E">
              <w:rPr>
                <w:rFonts w:cs="Times New Roman"/>
              </w:rPr>
              <w:t>Ammonites</w:t>
            </w:r>
          </w:p>
          <w:p w14:paraId="6A3A6BA6" w14:textId="77777777" w:rsidR="0068250E" w:rsidRPr="0068250E" w:rsidRDefault="0068250E" w:rsidP="0068250E">
            <w:pPr>
              <w:autoSpaceDE w:val="0"/>
              <w:autoSpaceDN w:val="0"/>
              <w:adjustRightInd w:val="0"/>
              <w:jc w:val="both"/>
              <w:rPr>
                <w:rFonts w:cs="Times New Roman"/>
              </w:rPr>
            </w:pPr>
          </w:p>
        </w:tc>
      </w:tr>
      <w:tr w:rsidR="0068250E" w:rsidRPr="0068250E" w14:paraId="6008FDF1" w14:textId="77777777" w:rsidTr="00E60143">
        <w:trPr>
          <w:gridAfter w:val="3"/>
          <w:wAfter w:w="3262" w:type="dxa"/>
          <w:trHeight w:val="777"/>
        </w:trPr>
        <w:tc>
          <w:tcPr>
            <w:tcW w:w="1544" w:type="dxa"/>
            <w:tcBorders>
              <w:top w:val="nil"/>
              <w:left w:val="nil"/>
              <w:bottom w:val="nil"/>
              <w:right w:val="nil"/>
            </w:tcBorders>
          </w:tcPr>
          <w:p w14:paraId="1EE297C2" w14:textId="77777777" w:rsidR="0068250E" w:rsidRPr="0068250E" w:rsidRDefault="0068250E" w:rsidP="0068250E">
            <w:pPr>
              <w:autoSpaceDE w:val="0"/>
              <w:autoSpaceDN w:val="0"/>
              <w:adjustRightInd w:val="0"/>
              <w:jc w:val="both"/>
              <w:rPr>
                <w:rFonts w:cs="Times New Roman"/>
              </w:rPr>
            </w:pPr>
            <w:r w:rsidRPr="0068250E">
              <w:rPr>
                <w:rFonts w:cs="Times New Roman"/>
              </w:rPr>
              <w:t>Ibzan</w:t>
            </w:r>
          </w:p>
          <w:p w14:paraId="75E4AEBC"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61106A84" w14:textId="77777777" w:rsidR="0068250E" w:rsidRPr="0068250E" w:rsidRDefault="0068250E" w:rsidP="0068250E">
            <w:pPr>
              <w:autoSpaceDE w:val="0"/>
              <w:autoSpaceDN w:val="0"/>
              <w:adjustRightInd w:val="0"/>
              <w:jc w:val="both"/>
              <w:rPr>
                <w:rFonts w:cs="Times New Roman"/>
              </w:rPr>
            </w:pPr>
            <w:r w:rsidRPr="0068250E">
              <w:rPr>
                <w:rFonts w:cs="Times New Roman"/>
              </w:rPr>
              <w:t>12:8–10</w:t>
            </w:r>
          </w:p>
          <w:p w14:paraId="4DD32C7C"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395E656B" w14:textId="77777777" w:rsidR="0068250E" w:rsidRPr="0068250E" w:rsidRDefault="0068250E" w:rsidP="0068250E">
            <w:pPr>
              <w:autoSpaceDE w:val="0"/>
              <w:autoSpaceDN w:val="0"/>
              <w:adjustRightInd w:val="0"/>
              <w:jc w:val="both"/>
              <w:rPr>
                <w:rFonts w:cs="Times New Roman"/>
              </w:rPr>
            </w:pPr>
            <w:r w:rsidRPr="0068250E">
              <w:rPr>
                <w:rFonts w:cs="Times New Roman"/>
              </w:rPr>
              <w:t>Judah or Zebulun?</w:t>
            </w:r>
          </w:p>
          <w:p w14:paraId="75658193"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5228DE16" w14:textId="77777777" w:rsidR="0068250E" w:rsidRPr="0068250E" w:rsidRDefault="0068250E" w:rsidP="0068250E">
            <w:pPr>
              <w:autoSpaceDE w:val="0"/>
              <w:autoSpaceDN w:val="0"/>
              <w:adjustRightInd w:val="0"/>
              <w:jc w:val="both"/>
              <w:rPr>
                <w:rFonts w:cs="Times New Roman"/>
              </w:rPr>
            </w:pPr>
          </w:p>
        </w:tc>
      </w:tr>
      <w:tr w:rsidR="0068250E" w:rsidRPr="0068250E" w14:paraId="03EA2FF4" w14:textId="77777777" w:rsidTr="00E60143">
        <w:trPr>
          <w:gridAfter w:val="3"/>
          <w:wAfter w:w="3262" w:type="dxa"/>
          <w:trHeight w:val="514"/>
        </w:trPr>
        <w:tc>
          <w:tcPr>
            <w:tcW w:w="1544" w:type="dxa"/>
            <w:tcBorders>
              <w:top w:val="nil"/>
              <w:left w:val="nil"/>
              <w:bottom w:val="nil"/>
              <w:right w:val="nil"/>
            </w:tcBorders>
          </w:tcPr>
          <w:p w14:paraId="5402FECF" w14:textId="77777777" w:rsidR="0068250E" w:rsidRPr="0068250E" w:rsidRDefault="0068250E" w:rsidP="0068250E">
            <w:pPr>
              <w:autoSpaceDE w:val="0"/>
              <w:autoSpaceDN w:val="0"/>
              <w:adjustRightInd w:val="0"/>
              <w:jc w:val="both"/>
              <w:rPr>
                <w:rFonts w:cs="Times New Roman"/>
              </w:rPr>
            </w:pPr>
            <w:r w:rsidRPr="0068250E">
              <w:rPr>
                <w:rFonts w:cs="Times New Roman"/>
              </w:rPr>
              <w:t>Elon</w:t>
            </w:r>
          </w:p>
          <w:p w14:paraId="11F6397F"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2E087F00" w14:textId="77777777" w:rsidR="0068250E" w:rsidRPr="0068250E" w:rsidRDefault="0068250E" w:rsidP="0068250E">
            <w:pPr>
              <w:autoSpaceDE w:val="0"/>
              <w:autoSpaceDN w:val="0"/>
              <w:adjustRightInd w:val="0"/>
              <w:jc w:val="both"/>
              <w:rPr>
                <w:rFonts w:cs="Times New Roman"/>
              </w:rPr>
            </w:pPr>
            <w:r w:rsidRPr="0068250E">
              <w:rPr>
                <w:rFonts w:cs="Times New Roman"/>
              </w:rPr>
              <w:t>12:11–12</w:t>
            </w:r>
          </w:p>
          <w:p w14:paraId="16FCEFE1"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008B4C28" w14:textId="77777777" w:rsidR="0068250E" w:rsidRPr="0068250E" w:rsidRDefault="0068250E" w:rsidP="0068250E">
            <w:pPr>
              <w:autoSpaceDE w:val="0"/>
              <w:autoSpaceDN w:val="0"/>
              <w:adjustRightInd w:val="0"/>
              <w:jc w:val="both"/>
              <w:rPr>
                <w:rFonts w:cs="Times New Roman"/>
              </w:rPr>
            </w:pPr>
            <w:r w:rsidRPr="0068250E">
              <w:rPr>
                <w:rFonts w:cs="Times New Roman"/>
              </w:rPr>
              <w:t>Zebulun</w:t>
            </w:r>
          </w:p>
          <w:p w14:paraId="7AF53D98"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2D48F0B9" w14:textId="77777777" w:rsidR="0068250E" w:rsidRPr="0068250E" w:rsidRDefault="0068250E" w:rsidP="0068250E">
            <w:pPr>
              <w:autoSpaceDE w:val="0"/>
              <w:autoSpaceDN w:val="0"/>
              <w:adjustRightInd w:val="0"/>
              <w:jc w:val="both"/>
              <w:rPr>
                <w:rFonts w:cs="Times New Roman"/>
              </w:rPr>
            </w:pPr>
          </w:p>
        </w:tc>
      </w:tr>
      <w:tr w:rsidR="0068250E" w:rsidRPr="0068250E" w14:paraId="4FBE57C1" w14:textId="77777777" w:rsidTr="00E60143">
        <w:trPr>
          <w:gridAfter w:val="3"/>
          <w:wAfter w:w="3262" w:type="dxa"/>
          <w:trHeight w:val="514"/>
        </w:trPr>
        <w:tc>
          <w:tcPr>
            <w:tcW w:w="1544" w:type="dxa"/>
            <w:tcBorders>
              <w:top w:val="nil"/>
              <w:left w:val="nil"/>
              <w:bottom w:val="nil"/>
              <w:right w:val="nil"/>
            </w:tcBorders>
          </w:tcPr>
          <w:p w14:paraId="4A3E55D8" w14:textId="77777777" w:rsidR="0068250E" w:rsidRPr="0068250E" w:rsidRDefault="0068250E" w:rsidP="0068250E">
            <w:pPr>
              <w:autoSpaceDE w:val="0"/>
              <w:autoSpaceDN w:val="0"/>
              <w:adjustRightInd w:val="0"/>
              <w:jc w:val="both"/>
              <w:rPr>
                <w:rFonts w:cs="Times New Roman"/>
              </w:rPr>
            </w:pPr>
            <w:r w:rsidRPr="0068250E">
              <w:rPr>
                <w:rFonts w:cs="Times New Roman"/>
              </w:rPr>
              <w:t>Abdon</w:t>
            </w:r>
          </w:p>
          <w:p w14:paraId="54700DC5"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69CD1149" w14:textId="77777777" w:rsidR="0068250E" w:rsidRPr="0068250E" w:rsidRDefault="0068250E" w:rsidP="0068250E">
            <w:pPr>
              <w:autoSpaceDE w:val="0"/>
              <w:autoSpaceDN w:val="0"/>
              <w:adjustRightInd w:val="0"/>
              <w:jc w:val="both"/>
              <w:rPr>
                <w:rFonts w:cs="Times New Roman"/>
              </w:rPr>
            </w:pPr>
            <w:r w:rsidRPr="0068250E">
              <w:rPr>
                <w:rFonts w:cs="Times New Roman"/>
              </w:rPr>
              <w:t>12:13–15</w:t>
            </w:r>
          </w:p>
          <w:p w14:paraId="7B1D0BBC"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245832EB" w14:textId="77777777" w:rsidR="0068250E" w:rsidRPr="0068250E" w:rsidRDefault="0068250E" w:rsidP="0068250E">
            <w:pPr>
              <w:autoSpaceDE w:val="0"/>
              <w:autoSpaceDN w:val="0"/>
              <w:adjustRightInd w:val="0"/>
              <w:jc w:val="both"/>
              <w:rPr>
                <w:rFonts w:cs="Times New Roman"/>
              </w:rPr>
            </w:pPr>
            <w:r w:rsidRPr="0068250E">
              <w:rPr>
                <w:rFonts w:cs="Times New Roman"/>
              </w:rPr>
              <w:t>Ephraim</w:t>
            </w:r>
          </w:p>
          <w:p w14:paraId="66A63284"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10ECE74B" w14:textId="77777777" w:rsidR="0068250E" w:rsidRPr="0068250E" w:rsidRDefault="0068250E" w:rsidP="0068250E">
            <w:pPr>
              <w:autoSpaceDE w:val="0"/>
              <w:autoSpaceDN w:val="0"/>
              <w:adjustRightInd w:val="0"/>
              <w:jc w:val="both"/>
              <w:rPr>
                <w:rFonts w:cs="Times New Roman"/>
              </w:rPr>
            </w:pPr>
          </w:p>
        </w:tc>
      </w:tr>
      <w:tr w:rsidR="0068250E" w:rsidRPr="0068250E" w14:paraId="42B44F09" w14:textId="77777777" w:rsidTr="00E60143">
        <w:trPr>
          <w:gridAfter w:val="3"/>
          <w:wAfter w:w="3262" w:type="dxa"/>
          <w:trHeight w:val="514"/>
        </w:trPr>
        <w:tc>
          <w:tcPr>
            <w:tcW w:w="1544" w:type="dxa"/>
            <w:tcBorders>
              <w:top w:val="nil"/>
              <w:left w:val="nil"/>
              <w:bottom w:val="nil"/>
              <w:right w:val="nil"/>
            </w:tcBorders>
          </w:tcPr>
          <w:p w14:paraId="543970D6" w14:textId="77777777" w:rsidR="0068250E" w:rsidRPr="0068250E" w:rsidRDefault="0068250E" w:rsidP="0068250E">
            <w:pPr>
              <w:autoSpaceDE w:val="0"/>
              <w:autoSpaceDN w:val="0"/>
              <w:adjustRightInd w:val="0"/>
              <w:jc w:val="both"/>
              <w:rPr>
                <w:rFonts w:cs="Times New Roman"/>
              </w:rPr>
            </w:pPr>
            <w:r w:rsidRPr="0068250E">
              <w:rPr>
                <w:rFonts w:cs="Times New Roman"/>
              </w:rPr>
              <w:t>Samson</w:t>
            </w:r>
          </w:p>
          <w:p w14:paraId="3AAAA6E5" w14:textId="77777777" w:rsidR="0068250E" w:rsidRPr="0068250E" w:rsidRDefault="0068250E" w:rsidP="0068250E">
            <w:pPr>
              <w:autoSpaceDE w:val="0"/>
              <w:autoSpaceDN w:val="0"/>
              <w:adjustRightInd w:val="0"/>
              <w:jc w:val="both"/>
              <w:rPr>
                <w:rFonts w:cs="Times New Roman"/>
              </w:rPr>
            </w:pPr>
          </w:p>
        </w:tc>
        <w:tc>
          <w:tcPr>
            <w:tcW w:w="1544" w:type="dxa"/>
            <w:tcBorders>
              <w:top w:val="nil"/>
              <w:left w:val="nil"/>
              <w:bottom w:val="nil"/>
              <w:right w:val="nil"/>
            </w:tcBorders>
          </w:tcPr>
          <w:p w14:paraId="3FD18146" w14:textId="77777777" w:rsidR="0068250E" w:rsidRPr="0068250E" w:rsidRDefault="0068250E" w:rsidP="0068250E">
            <w:pPr>
              <w:autoSpaceDE w:val="0"/>
              <w:autoSpaceDN w:val="0"/>
              <w:adjustRightInd w:val="0"/>
              <w:jc w:val="both"/>
              <w:rPr>
                <w:rFonts w:cs="Times New Roman"/>
              </w:rPr>
            </w:pPr>
            <w:r w:rsidRPr="0068250E">
              <w:rPr>
                <w:rFonts w:cs="Times New Roman"/>
              </w:rPr>
              <w:t>chs. 13–16</w:t>
            </w:r>
          </w:p>
          <w:p w14:paraId="63592B5A" w14:textId="77777777" w:rsidR="0068250E" w:rsidRPr="0068250E" w:rsidRDefault="0068250E" w:rsidP="0068250E">
            <w:pPr>
              <w:autoSpaceDE w:val="0"/>
              <w:autoSpaceDN w:val="0"/>
              <w:adjustRightInd w:val="0"/>
              <w:jc w:val="both"/>
              <w:rPr>
                <w:rFonts w:cs="Times New Roman"/>
              </w:rPr>
            </w:pPr>
          </w:p>
        </w:tc>
        <w:tc>
          <w:tcPr>
            <w:tcW w:w="2204" w:type="dxa"/>
            <w:tcBorders>
              <w:top w:val="nil"/>
              <w:left w:val="nil"/>
              <w:bottom w:val="nil"/>
              <w:right w:val="nil"/>
            </w:tcBorders>
          </w:tcPr>
          <w:p w14:paraId="6EE0FC20" w14:textId="77777777" w:rsidR="0068250E" w:rsidRPr="0068250E" w:rsidRDefault="0068250E" w:rsidP="0068250E">
            <w:pPr>
              <w:autoSpaceDE w:val="0"/>
              <w:autoSpaceDN w:val="0"/>
              <w:adjustRightInd w:val="0"/>
              <w:jc w:val="both"/>
              <w:rPr>
                <w:rFonts w:cs="Times New Roman"/>
              </w:rPr>
            </w:pPr>
            <w:r w:rsidRPr="0068250E">
              <w:rPr>
                <w:rFonts w:cs="Times New Roman"/>
              </w:rPr>
              <w:t>Dan</w:t>
            </w:r>
          </w:p>
          <w:p w14:paraId="48354F0F" w14:textId="77777777" w:rsidR="0068250E" w:rsidRPr="0068250E" w:rsidRDefault="0068250E" w:rsidP="0068250E">
            <w:pPr>
              <w:autoSpaceDE w:val="0"/>
              <w:autoSpaceDN w:val="0"/>
              <w:adjustRightInd w:val="0"/>
              <w:jc w:val="both"/>
              <w:rPr>
                <w:rFonts w:cs="Times New Roman"/>
              </w:rPr>
            </w:pPr>
          </w:p>
        </w:tc>
        <w:tc>
          <w:tcPr>
            <w:tcW w:w="2252" w:type="dxa"/>
            <w:tcBorders>
              <w:top w:val="nil"/>
              <w:left w:val="nil"/>
              <w:bottom w:val="nil"/>
              <w:right w:val="nil"/>
            </w:tcBorders>
          </w:tcPr>
          <w:p w14:paraId="4026E0F8" w14:textId="77777777" w:rsidR="0068250E" w:rsidRPr="0068250E" w:rsidRDefault="0068250E" w:rsidP="0068250E">
            <w:pPr>
              <w:autoSpaceDE w:val="0"/>
              <w:autoSpaceDN w:val="0"/>
              <w:adjustRightInd w:val="0"/>
              <w:jc w:val="both"/>
              <w:rPr>
                <w:rFonts w:cs="Times New Roman"/>
              </w:rPr>
            </w:pPr>
            <w:r w:rsidRPr="0068250E">
              <w:rPr>
                <w:rFonts w:cs="Times New Roman"/>
              </w:rPr>
              <w:t>Philistines</w:t>
            </w:r>
          </w:p>
          <w:p w14:paraId="2E9160DD" w14:textId="77777777" w:rsidR="0068250E" w:rsidRPr="0068250E" w:rsidRDefault="0068250E" w:rsidP="0068250E">
            <w:pPr>
              <w:autoSpaceDE w:val="0"/>
              <w:autoSpaceDN w:val="0"/>
              <w:adjustRightInd w:val="0"/>
              <w:jc w:val="both"/>
              <w:rPr>
                <w:rFonts w:cs="Times New Roman"/>
              </w:rPr>
            </w:pPr>
          </w:p>
        </w:tc>
      </w:tr>
    </w:tbl>
    <w:p w14:paraId="5684784F" w14:textId="77777777" w:rsidR="000B6371" w:rsidRDefault="000B6371"/>
    <w:p w14:paraId="604F423E" w14:textId="08E4F1CE" w:rsidR="000B6371" w:rsidRDefault="004F0267" w:rsidP="00C411C2">
      <w:pPr>
        <w:pStyle w:val="ListParagraph"/>
        <w:numPr>
          <w:ilvl w:val="0"/>
          <w:numId w:val="1"/>
        </w:numPr>
      </w:pPr>
      <w:r>
        <w:t xml:space="preserve">A Snapshot of </w:t>
      </w:r>
      <w:r w:rsidR="00C411C2">
        <w:t>Israelite and Canaanite Life (Judges 17-18)</w:t>
      </w:r>
    </w:p>
    <w:p w14:paraId="3989BF9E" w14:textId="77777777" w:rsidR="004F0267" w:rsidRPr="00C411C2" w:rsidRDefault="004F0267" w:rsidP="00C411C2">
      <w:pPr>
        <w:ind w:left="360"/>
        <w:rPr>
          <w:rFonts w:ascii="Calibri" w:hAnsi="Calibri" w:cs="Calibri"/>
        </w:rPr>
      </w:pPr>
    </w:p>
    <w:p w14:paraId="36A41F25" w14:textId="212D3217" w:rsidR="002868E0" w:rsidRPr="00C411C2" w:rsidRDefault="00C411C2" w:rsidP="00C411C2">
      <w:pPr>
        <w:ind w:left="360"/>
        <w:jc w:val="center"/>
        <w:rPr>
          <w:rFonts w:ascii="Calibri" w:hAnsi="Calibri" w:cs="Calibri"/>
          <w:b/>
          <w:bCs/>
        </w:rPr>
      </w:pPr>
      <w:r w:rsidRPr="00C411C2">
        <w:rPr>
          <w:b/>
          <w:bCs/>
        </w:rPr>
        <w:t>NEXT WEEK: THE PHILISTINES!</w:t>
      </w:r>
    </w:p>
    <w:p w14:paraId="5E484BA0" w14:textId="77777777" w:rsidR="002868E0" w:rsidRPr="00C411C2" w:rsidRDefault="002868E0" w:rsidP="00C411C2"/>
    <w:sectPr w:rsidR="002868E0" w:rsidRPr="00C411C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047A0" w14:textId="77777777" w:rsidR="00134548" w:rsidRDefault="00134548" w:rsidP="008943A0">
      <w:r>
        <w:separator/>
      </w:r>
    </w:p>
  </w:endnote>
  <w:endnote w:type="continuationSeparator" w:id="0">
    <w:p w14:paraId="32479893" w14:textId="77777777" w:rsidR="00134548" w:rsidRDefault="00134548" w:rsidP="0089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2C4B2" w14:textId="77777777" w:rsidR="00134548" w:rsidRDefault="00134548" w:rsidP="008943A0">
      <w:r>
        <w:separator/>
      </w:r>
    </w:p>
  </w:footnote>
  <w:footnote w:type="continuationSeparator" w:id="0">
    <w:p w14:paraId="68BA8BE0" w14:textId="77777777" w:rsidR="00134548" w:rsidRDefault="00134548" w:rsidP="008943A0">
      <w:r>
        <w:continuationSeparator/>
      </w:r>
    </w:p>
  </w:footnote>
  <w:footnote w:id="1">
    <w:p w14:paraId="324473FA" w14:textId="77777777" w:rsidR="000259B9" w:rsidRDefault="000259B9" w:rsidP="000259B9">
      <w:r>
        <w:rPr>
          <w:vertAlign w:val="superscript"/>
        </w:rPr>
        <w:footnoteRef/>
      </w:r>
      <w:r>
        <w:t xml:space="preserve"> </w:t>
      </w:r>
      <w:hyperlink r:id="rId1" w:history="1">
        <w:r>
          <w:rPr>
            <w:i/>
            <w:color w:val="0000FF"/>
            <w:u w:val="single"/>
          </w:rPr>
          <w:t>The Holy Bible: English Standard Version</w:t>
        </w:r>
      </w:hyperlink>
      <w:r>
        <w:t>. (2016). (Ge 19:36–38). Wheaton, IL: Crossway Bibles.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812818"/>
      <w:docPartObj>
        <w:docPartGallery w:val="Page Numbers (Top of Page)"/>
        <w:docPartUnique/>
      </w:docPartObj>
    </w:sdtPr>
    <w:sdtEndPr>
      <w:rPr>
        <w:rStyle w:val="PageNumber"/>
      </w:rPr>
    </w:sdtEndPr>
    <w:sdtContent>
      <w:p w14:paraId="4A085E89" w14:textId="5B37B69E" w:rsidR="004F0267" w:rsidRDefault="004F0267" w:rsidP="00957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1362D" w14:textId="77777777" w:rsidR="004F0267" w:rsidRDefault="004F0267" w:rsidP="004F02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0237438"/>
      <w:docPartObj>
        <w:docPartGallery w:val="Page Numbers (Top of Page)"/>
        <w:docPartUnique/>
      </w:docPartObj>
    </w:sdtPr>
    <w:sdtEndPr>
      <w:rPr>
        <w:rStyle w:val="PageNumber"/>
      </w:rPr>
    </w:sdtEndPr>
    <w:sdtContent>
      <w:p w14:paraId="0D80CA8E" w14:textId="0719CEBE" w:rsidR="004F0267" w:rsidRDefault="004F0267" w:rsidP="009571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0925">
          <w:rPr>
            <w:rStyle w:val="PageNumber"/>
            <w:noProof/>
          </w:rPr>
          <w:t>2</w:t>
        </w:r>
        <w:r>
          <w:rPr>
            <w:rStyle w:val="PageNumber"/>
          </w:rPr>
          <w:fldChar w:fldCharType="end"/>
        </w:r>
      </w:p>
    </w:sdtContent>
  </w:sdt>
  <w:p w14:paraId="1B364EFC" w14:textId="77777777" w:rsidR="004F0267" w:rsidRDefault="004F0267" w:rsidP="004F02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C5795"/>
    <w:multiLevelType w:val="hybridMultilevel"/>
    <w:tmpl w:val="09044886"/>
    <w:lvl w:ilvl="0" w:tplc="107EF3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A0"/>
    <w:rsid w:val="000259B9"/>
    <w:rsid w:val="000614D9"/>
    <w:rsid w:val="000B6371"/>
    <w:rsid w:val="000C775A"/>
    <w:rsid w:val="00134548"/>
    <w:rsid w:val="00145EC7"/>
    <w:rsid w:val="001C02E6"/>
    <w:rsid w:val="001C20E3"/>
    <w:rsid w:val="001D4547"/>
    <w:rsid w:val="00252975"/>
    <w:rsid w:val="00275B97"/>
    <w:rsid w:val="002868E0"/>
    <w:rsid w:val="002B3ADE"/>
    <w:rsid w:val="002F4716"/>
    <w:rsid w:val="00340A71"/>
    <w:rsid w:val="003E7609"/>
    <w:rsid w:val="004B0925"/>
    <w:rsid w:val="004D45FE"/>
    <w:rsid w:val="004F0267"/>
    <w:rsid w:val="005205B5"/>
    <w:rsid w:val="005241BF"/>
    <w:rsid w:val="0068250E"/>
    <w:rsid w:val="006C3608"/>
    <w:rsid w:val="007203EE"/>
    <w:rsid w:val="00776AD3"/>
    <w:rsid w:val="00802078"/>
    <w:rsid w:val="00803DE9"/>
    <w:rsid w:val="0082735A"/>
    <w:rsid w:val="00846EF5"/>
    <w:rsid w:val="008943A0"/>
    <w:rsid w:val="009414D6"/>
    <w:rsid w:val="00B541A4"/>
    <w:rsid w:val="00C411C2"/>
    <w:rsid w:val="00C67D30"/>
    <w:rsid w:val="00CD68BD"/>
    <w:rsid w:val="00D07E82"/>
    <w:rsid w:val="00D16AD4"/>
    <w:rsid w:val="00E60143"/>
    <w:rsid w:val="00EA1808"/>
    <w:rsid w:val="00FC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E3AC"/>
  <w15:chartTrackingRefBased/>
  <w15:docId w15:val="{EF5586EF-1875-B94D-86F5-A621BE1B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8943A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078"/>
    <w:rPr>
      <w:color w:val="0563C1" w:themeColor="hyperlink"/>
      <w:u w:val="single"/>
    </w:rPr>
  </w:style>
  <w:style w:type="character" w:customStyle="1" w:styleId="UnresolvedMention">
    <w:name w:val="Unresolved Mention"/>
    <w:basedOn w:val="DefaultParagraphFont"/>
    <w:uiPriority w:val="99"/>
    <w:semiHidden/>
    <w:unhideWhenUsed/>
    <w:rsid w:val="00802078"/>
    <w:rPr>
      <w:color w:val="605E5C"/>
      <w:shd w:val="clear" w:color="auto" w:fill="E1DFDD"/>
    </w:rPr>
  </w:style>
  <w:style w:type="paragraph" w:styleId="ListParagraph">
    <w:name w:val="List Paragraph"/>
    <w:basedOn w:val="Normal"/>
    <w:uiPriority w:val="34"/>
    <w:qFormat/>
    <w:rsid w:val="000259B9"/>
    <w:pPr>
      <w:ind w:left="720"/>
      <w:contextualSpacing/>
    </w:pPr>
  </w:style>
  <w:style w:type="paragraph" w:styleId="Header">
    <w:name w:val="header"/>
    <w:basedOn w:val="Normal"/>
    <w:link w:val="HeaderChar"/>
    <w:uiPriority w:val="99"/>
    <w:unhideWhenUsed/>
    <w:rsid w:val="004F0267"/>
    <w:pPr>
      <w:tabs>
        <w:tab w:val="center" w:pos="4680"/>
        <w:tab w:val="right" w:pos="9360"/>
      </w:tabs>
    </w:pPr>
  </w:style>
  <w:style w:type="character" w:customStyle="1" w:styleId="HeaderChar">
    <w:name w:val="Header Char"/>
    <w:basedOn w:val="DefaultParagraphFont"/>
    <w:link w:val="Header"/>
    <w:uiPriority w:val="99"/>
    <w:rsid w:val="004F0267"/>
    <w:rPr>
      <w:rFonts w:ascii="Times New Roman" w:hAnsi="Times New Roman"/>
    </w:rPr>
  </w:style>
  <w:style w:type="character" w:styleId="PageNumber">
    <w:name w:val="page number"/>
    <w:basedOn w:val="DefaultParagraphFont"/>
    <w:uiPriority w:val="99"/>
    <w:semiHidden/>
    <w:unhideWhenUsed/>
    <w:rsid w:val="004F0267"/>
  </w:style>
  <w:style w:type="paragraph" w:styleId="BalloonText">
    <w:name w:val="Balloon Text"/>
    <w:basedOn w:val="Normal"/>
    <w:link w:val="BalloonTextChar"/>
    <w:uiPriority w:val="99"/>
    <w:semiHidden/>
    <w:unhideWhenUsed/>
    <w:rsid w:val="003E7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Ge19.36&amp;off=0&amp;ctx=+or+when+she+arose.+~36%C2%A0Thus+both+the+d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Fuller Jr.</dc:creator>
  <cp:keywords/>
  <dc:description/>
  <cp:lastModifiedBy>Figueroa, Sheila</cp:lastModifiedBy>
  <cp:revision>4</cp:revision>
  <cp:lastPrinted>2022-10-05T19:03:00Z</cp:lastPrinted>
  <dcterms:created xsi:type="dcterms:W3CDTF">2022-10-05T16:40:00Z</dcterms:created>
  <dcterms:modified xsi:type="dcterms:W3CDTF">2022-10-05T19:03:00Z</dcterms:modified>
</cp:coreProperties>
</file>